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C69DC">
      <w:pPr>
        <w:pStyle w:val="12"/>
        <w:rPr>
          <w:sz w:val="48"/>
          <w:szCs w:val="48"/>
        </w:rPr>
      </w:pPr>
    </w:p>
    <w:p w14:paraId="26B86225">
      <w:pPr>
        <w:pStyle w:val="12"/>
        <w:rPr>
          <w:b w:val="0"/>
          <w:sz w:val="48"/>
          <w:szCs w:val="48"/>
        </w:rPr>
      </w:pPr>
      <w:r>
        <w:rPr>
          <w:sz w:val="48"/>
          <w:szCs w:val="48"/>
        </w:rPr>
        <w:t xml:space="preserve">Case Title </w:t>
      </w:r>
      <w:r>
        <w:rPr>
          <w:b w:val="0"/>
          <w:i/>
          <w:sz w:val="48"/>
          <w:szCs w:val="48"/>
          <w:highlight w:val="lightGray"/>
        </w:rPr>
        <w:t xml:space="preserve">(= </w:t>
      </w:r>
      <w:r>
        <w:rPr>
          <w:b w:val="0"/>
          <w:i/>
          <w:iCs/>
          <w:sz w:val="48"/>
          <w:szCs w:val="48"/>
          <w:highlight w:val="lightGray"/>
        </w:rPr>
        <w:t xml:space="preserve">the </w:t>
      </w:r>
      <w:r>
        <w:rPr>
          <w:b w:val="0"/>
          <w:i/>
          <w:sz w:val="48"/>
          <w:szCs w:val="48"/>
          <w:highlight w:val="lightGray"/>
        </w:rPr>
        <w:t>main clinical presentation)</w:t>
      </w:r>
    </w:p>
    <w:p w14:paraId="34B79D2E">
      <w:pPr>
        <w:spacing w:after="0"/>
        <w:rPr>
          <w:szCs w:val="20"/>
        </w:rPr>
      </w:pPr>
    </w:p>
    <w:p w14:paraId="4473BC4A">
      <w:pPr>
        <w:pStyle w:val="10"/>
      </w:pPr>
      <w:r>
        <w:t xml:space="preserve">Author(s) </w:t>
      </w:r>
      <w:r>
        <w:rPr>
          <w:b w:val="0"/>
          <w:bCs/>
          <w:i/>
          <w:iCs/>
          <w:highlight w:val="lightGray"/>
        </w:rPr>
        <w:t>(how it should appear online, in the order given/middle/family name)</w:t>
      </w:r>
      <w:r>
        <w:t>:</w:t>
      </w:r>
    </w:p>
    <w:p w14:paraId="6EC7C0E5">
      <w:pPr>
        <w:pStyle w:val="10"/>
      </w:pPr>
      <w:r>
        <w:t xml:space="preserve">Region: </w:t>
      </w:r>
      <w:sdt>
        <w:sdtPr>
          <w:id w:val="1069849486"/>
          <w:placeholder>
            <w:docPart w:val="279EEE9180124CE498D28F7780BFEBFA"/>
          </w:placeholder>
          <w:showingPlcHdr/>
          <w:dropDownList>
            <w:listItem w:displayText="Australia/New Zealand" w:value="Australia/New Zealand"/>
            <w:listItem w:displayText="Colombia" w:value="Colombia"/>
            <w:listItem w:displayText="Egypt" w:value="Egypt"/>
            <w:listItem w:displayText="India" w:value="India"/>
            <w:listItem w:displayText="Indonesia" w:value="Indonesia"/>
            <w:listItem w:displayText="Lebanon" w:value="Lebanon"/>
            <w:listItem w:displayText="Mexico" w:value="Mexico"/>
            <w:listItem w:displayText="Middle East" w:value="Middle East"/>
            <w:listItem w:displayText="Saudi Arabia" w:value="Saudi Arabia"/>
            <w:listItem w:displayText="South Africa" w:value="South Africa"/>
            <w:listItem w:displayText="Southeast Asia" w:value="Southeast Asia"/>
            <w:listItem w:displayText="United Kingdom" w:value="United Kingdom"/>
          </w:dropDownList>
        </w:sdtPr>
        <w:sdtContent>
          <w:r>
            <w:rPr>
              <w:rStyle w:val="28"/>
            </w:rPr>
            <w:t>Choose an item.</w:t>
          </w:r>
        </w:sdtContent>
      </w:sdt>
    </w:p>
    <w:p w14:paraId="0FE5EF7E">
      <w:pPr>
        <w:pStyle w:val="10"/>
      </w:pPr>
      <w:r>
        <w:rPr>
          <w:highlight w:val="lightGray"/>
        </w:rPr>
        <w:t>Illness/disease:</w:t>
      </w:r>
      <w:r>
        <w:t xml:space="preserve"> </w:t>
      </w:r>
    </w:p>
    <w:p w14:paraId="146077F1">
      <w:pPr>
        <w:pStyle w:val="10"/>
      </w:pPr>
      <w:r>
        <w:t xml:space="preserve">Topic: </w:t>
      </w:r>
      <w:sdt>
        <w:sdtPr>
          <w:id w:val="-758436605"/>
          <w:placeholder>
            <w:docPart w:val="1004F68959D14B51AD74183DE3921FB5"/>
          </w:placeholder>
          <w:showingPlcHdr/>
          <w:dropDownList>
            <w:listItem w:displayText="Anaesthesia" w:value="Anaesthesia"/>
            <w:listItem w:displayText="Cardiovascular System" w:value="Cardiovascular System"/>
            <w:listItem w:displayText="Dermatology" w:value="Dermatology"/>
            <w:listItem w:displayText="Developmental Disorders" w:value="Developmental Disorders"/>
            <w:listItem w:displayText="Ears, Nose and Throat" w:value="Ears, Nose and Throat"/>
            <w:listItem w:displayText="Endocrine System and Metabolism" w:value="Endocrine System and Metabolism"/>
            <w:listItem w:displayText="Gastrointestinal System" w:value="Gastrointestinal System"/>
            <w:listItem w:displayText="Genitourinary System" w:value="Genitourinary System"/>
            <w:listItem w:displayText="Geriatrics" w:value="Geriatrics"/>
            <w:listItem w:displayText="Haematology" w:value="Haematology"/>
            <w:listItem w:displayText="Immune System" w:value="Immune System"/>
            <w:listItem w:displayText="Infectious Diseases" w:value="Infectious Diseases"/>
            <w:listItem w:displayText="Mental Health" w:value="Mental Health"/>
            <w:listItem w:displayText="Musculoskeletal System" w:value="Musculoskeletal System"/>
            <w:listItem w:displayText="Nervous System" w:value="Nervous System"/>
            <w:listItem w:displayText="Obstetrics and Gynaecology" w:value="Obstetrics and Gynaecology"/>
            <w:listItem w:displayText="Occupational Medicine" w:value="Occupational Medicine"/>
            <w:listItem w:displayText="Oncology" w:value="Oncology"/>
            <w:listItem w:displayText="Ophthalmology" w:value="Ophthalmology"/>
            <w:listItem w:displayText="Palliative Care" w:value="Palliative Care"/>
            <w:listItem w:displayText="Pharmacology" w:value="Pharmacology"/>
            <w:listItem w:displayText="Preventive Health" w:value="Preventive Health"/>
            <w:listItem w:displayText="Respiratory System" w:value="Respiratory System"/>
            <w:listItem w:displayText="Toxicology and Toxinology" w:value="Toxicology and Toxinology"/>
            <w:listItem w:displayText="Trauma and Environmental Health" w:value="Trauma and Environmental Health"/>
            <w:listItem w:displayText="Travel Medicine" w:value="Travel Medicine"/>
          </w:dropDownList>
        </w:sdtPr>
        <w:sdtContent>
          <w:r>
            <w:rPr>
              <w:rStyle w:val="28"/>
            </w:rPr>
            <w:t>Choose an item.</w:t>
          </w:r>
        </w:sdtContent>
      </w:sdt>
    </w:p>
    <w:p w14:paraId="28A40613">
      <w:pPr>
        <w:pStyle w:val="10"/>
      </w:pPr>
      <w:r>
        <w:t xml:space="preserve">Setting: </w:t>
      </w:r>
      <w:sdt>
        <w:sdtPr>
          <w:id w:val="987055367"/>
          <w:placeholder>
            <w:docPart w:val="9A52D2D3CFDE45919CB69417AED53F62"/>
          </w:placeholder>
          <w:showingPlcHdr/>
          <w:dropDownList>
            <w:listItem w:displayText="Emergency Care" w:value="Emergency Care"/>
            <w:listItem w:displayText="Primary Care" w:value="Primary Care"/>
            <w:listItem w:displayText="Secondary Care" w:value="Secondary Care"/>
          </w:dropDownList>
        </w:sdtPr>
        <w:sdtContent>
          <w:r>
            <w:rPr>
              <w:rStyle w:val="28"/>
            </w:rPr>
            <w:t>Choose an item.</w:t>
          </w:r>
        </w:sdtContent>
      </w:sdt>
    </w:p>
    <w:p w14:paraId="3789C219">
      <w:pPr>
        <w:pStyle w:val="10"/>
      </w:pPr>
      <w:r>
        <w:t xml:space="preserve">Patient Age: </w:t>
      </w:r>
      <w:sdt>
        <w:sdtPr>
          <w:id w:val="1934317113"/>
          <w:placeholder>
            <w:docPart w:val="9A52D2D3CFDE45919CB69417AED53F62"/>
          </w:placeholder>
          <w:showingPlcHdr/>
          <w:dropDownList>
            <w:listItem w:displayText="Child (&lt;18 years)" w:value="Child (&lt;18 years)"/>
            <w:listItem w:displayText="Adult (18+ years)" w:value="Adult (18+ years)"/>
          </w:dropDownList>
        </w:sdtPr>
        <w:sdtContent>
          <w:r>
            <w:rPr>
              <w:rStyle w:val="28"/>
            </w:rPr>
            <w:t>Choose an item.</w:t>
          </w:r>
        </w:sdtContent>
      </w:sdt>
    </w:p>
    <w:p w14:paraId="229A81CE">
      <w:pPr>
        <w:pStyle w:val="10"/>
        <w:spacing w:line="240" w:lineRule="auto"/>
      </w:pPr>
      <w:r>
        <w:t xml:space="preserve">Level: </w:t>
      </w:r>
      <w:sdt>
        <w:sdtPr>
          <w:id w:val="-599722001"/>
          <w:placeholder>
            <w:docPart w:val="6DE0C24AFDFF4E3CBA69B04A44414583"/>
          </w:placeholder>
          <w:dropDownList>
            <w:listItem w:displayText="Medical Students" w:value="Medical Students"/>
            <w:listItem w:displayText="Junior Doctors" w:value="Junior Doctors"/>
            <w:listItem w:displayText="Qualified Practitioners" w:value="Qualified Practitioners"/>
          </w:dropDownList>
        </w:sdtPr>
        <w:sdtContent>
          <w:r>
            <w:t>Qualified Practitioners</w:t>
          </w:r>
        </w:sdtContent>
      </w:sdt>
    </w:p>
    <w:p w14:paraId="7833C7C9">
      <w:pPr>
        <w:spacing w:after="0"/>
        <w:rPr>
          <w:sz w:val="16"/>
          <w:szCs w:val="16"/>
        </w:rPr>
      </w:pPr>
    </w:p>
    <w:p w14:paraId="1E866307">
      <w:pPr>
        <w:spacing w:after="0"/>
        <w:rPr>
          <w:sz w:val="16"/>
          <w:szCs w:val="16"/>
        </w:rPr>
      </w:pPr>
      <w:r>
        <mc:AlternateContent>
          <mc:Choice Requires="wps">
            <w:drawing>
              <wp:inline distT="0" distB="0" distL="0" distR="0">
                <wp:extent cx="5731510" cy="2114550"/>
                <wp:effectExtent l="38100" t="38100" r="40640" b="38100"/>
                <wp:docPr id="2000374645" name="Text Box 2000374645"/>
                <wp:cNvGraphicFramePr/>
                <a:graphic xmlns:a="http://schemas.openxmlformats.org/drawingml/2006/main">
                  <a:graphicData uri="http://schemas.microsoft.com/office/word/2010/wordprocessingShape">
                    <wps:wsp>
                      <wps:cNvSpPr txBox="1">
                        <a:spLocks noChangeArrowheads="1"/>
                      </wps:cNvSpPr>
                      <wps:spPr bwMode="auto">
                        <a:xfrm>
                          <a:off x="0" y="0"/>
                          <a:ext cx="5731510" cy="2114550"/>
                        </a:xfrm>
                        <a:prstGeom prst="rect">
                          <a:avLst/>
                        </a:prstGeom>
                        <a:solidFill>
                          <a:schemeClr val="bg1"/>
                        </a:solidFill>
                        <a:ln w="76200">
                          <a:solidFill>
                            <a:srgbClr val="FF0000"/>
                          </a:solidFill>
                          <a:miter lim="800000"/>
                        </a:ln>
                      </wps:spPr>
                      <wps:txbx>
                        <w:txbxContent>
                          <w:p w14:paraId="2F72CA0C">
                            <w:pPr>
                              <w:shd w:val="clear" w:color="auto" w:fill="FFFFFF" w:themeFill="background1"/>
                              <w:spacing w:after="120" w:line="240" w:lineRule="auto"/>
                              <w:jc w:val="center"/>
                              <w:rPr>
                                <w:b/>
                                <w:bCs/>
                                <w:sz w:val="28"/>
                                <w:szCs w:val="28"/>
                                <w:shd w:val="clear" w:color="auto" w:fill="FFFFFF" w:themeFill="background1"/>
                              </w:rPr>
                            </w:pPr>
                            <w:r>
                              <w:rPr>
                                <w:b/>
                                <w:bCs/>
                                <w:sz w:val="28"/>
                                <w:szCs w:val="28"/>
                                <w:highlight w:val="yellow"/>
                                <w:shd w:val="clear" w:color="auto" w:fill="FFFFFF" w:themeFill="background1"/>
                              </w:rPr>
                              <w:t>USE OF AI TOOLS</w:t>
                            </w:r>
                          </w:p>
                          <w:p w14:paraId="26217B08">
                            <w:pPr>
                              <w:shd w:val="clear" w:color="auto" w:fill="FFFFFF" w:themeFill="background1"/>
                              <w:spacing w:after="120"/>
                              <w:rPr>
                                <w:rFonts w:eastAsia="Times New Roman" w:cstheme="minorHAnsi"/>
                                <w:color w:val="000000" w:themeColor="text1"/>
                                <w:sz w:val="22"/>
                                <w:shd w:val="clear" w:color="auto" w:fill="FFFFFF" w:themeFill="background1"/>
                                <w14:textFill>
                                  <w14:solidFill>
                                    <w14:schemeClr w14:val="tx1"/>
                                  </w14:solidFill>
                                </w14:textFill>
                              </w:rPr>
                            </w:pPr>
                            <w:r>
                              <w:rPr>
                                <w:sz w:val="22"/>
                                <w:shd w:val="clear" w:color="auto" w:fill="FFFFFF" w:themeFill="background1"/>
                              </w:rPr>
                              <w:t xml:space="preserve">MH permits the use of AI tools </w:t>
                            </w:r>
                            <w:r>
                              <w:rPr>
                                <w:b/>
                                <w:bCs/>
                                <w:sz w:val="22"/>
                                <w:shd w:val="clear" w:color="auto" w:fill="FFFFFF" w:themeFill="background1"/>
                              </w:rPr>
                              <w:t>for idea generation and inspiration with the following caveats:</w:t>
                            </w:r>
                          </w:p>
                          <w:p w14:paraId="32D3E4A5">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sz w:val="22"/>
                                <w:shd w:val="clear" w:color="auto" w:fill="FFFFFF" w:themeFill="background1"/>
                              </w:rPr>
                              <w:t xml:space="preserve">Authors must </w:t>
                            </w:r>
                            <w:r>
                              <w:rPr>
                                <w:b/>
                                <w:bCs/>
                                <w:sz w:val="22"/>
                                <w:shd w:val="clear" w:color="auto" w:fill="FFFFFF" w:themeFill="background1"/>
                              </w:rPr>
                              <w:t>carefully review, substantially revise and disclose any</w:t>
                            </w:r>
                            <w:r>
                              <w:rPr>
                                <w:sz w:val="22"/>
                                <w:shd w:val="clear" w:color="auto" w:fill="FFFFFF" w:themeFill="background1"/>
                              </w:rPr>
                              <w:t xml:space="preserve"> AI-generated content.</w:t>
                            </w:r>
                          </w:p>
                          <w:p w14:paraId="093E02EE">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sz w:val="22"/>
                                <w:shd w:val="clear" w:color="auto" w:fill="FFFFFF" w:themeFill="background1"/>
                              </w:rPr>
                              <w:t xml:space="preserve">Authors are responsible for </w:t>
                            </w:r>
                            <w:r>
                              <w:rPr>
                                <w:b/>
                                <w:bCs/>
                                <w:sz w:val="22"/>
                                <w:shd w:val="clear" w:color="auto" w:fill="FFFFFF" w:themeFill="background1"/>
                              </w:rPr>
                              <w:t>ensuring accuracy, originality and integrity</w:t>
                            </w:r>
                            <w:r>
                              <w:rPr>
                                <w:sz w:val="22"/>
                                <w:shd w:val="clear" w:color="auto" w:fill="FFFFFF" w:themeFill="background1"/>
                              </w:rPr>
                              <w:t xml:space="preserve"> of their submissions.</w:t>
                            </w:r>
                          </w:p>
                          <w:p w14:paraId="02A3480A">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sz w:val="22"/>
                                <w:shd w:val="clear" w:color="auto" w:fill="FFFFFF" w:themeFill="background1"/>
                              </w:rPr>
                              <w:t xml:space="preserve">To disclose AI usage, </w:t>
                            </w:r>
                            <w:r>
                              <w:rPr>
                                <w:b/>
                                <w:bCs/>
                                <w:sz w:val="22"/>
                                <w:shd w:val="clear" w:color="auto" w:fill="FFFFFF" w:themeFill="background1"/>
                              </w:rPr>
                              <w:t>authors must complete the MH Form for Submitting AI Content.</w:t>
                            </w:r>
                          </w:p>
                          <w:p w14:paraId="39F9D06E">
                            <w:pPr>
                              <w:shd w:val="clear" w:color="auto" w:fill="FFFFFF" w:themeFill="background1"/>
                              <w:spacing w:after="120" w:line="240" w:lineRule="auto"/>
                              <w:rPr>
                                <w:sz w:val="22"/>
                                <w:shd w:val="clear" w:color="auto" w:fill="FFFFFF" w:themeFill="background1"/>
                              </w:rPr>
                            </w:pPr>
                            <w:r>
                              <w:rPr>
                                <w:sz w:val="22"/>
                                <w:shd w:val="clear" w:color="auto" w:fill="FFFFFF" w:themeFill="background1"/>
                              </w:rPr>
                              <w:t>For detailed guidelines on permissible AI use and reporting requirements, please reach out to your McGraw Hill contact.</w:t>
                            </w:r>
                          </w:p>
                        </w:txbxContent>
                      </wps:txbx>
                      <wps:bodyPr rot="0" vert="horz" wrap="square" lIns="90000" tIns="90000" rIns="90000" bIns="90000" anchor="ctr" anchorCtr="0">
                        <a:noAutofit/>
                      </wps:bodyPr>
                    </wps:wsp>
                  </a:graphicData>
                </a:graphic>
              </wp:inline>
            </w:drawing>
          </mc:Choice>
          <mc:Fallback>
            <w:pict>
              <v:shape id="Text Box 2000374645" o:spid="_x0000_s1026" o:spt="202" type="#_x0000_t202" style="height:166.5pt;width:451.3pt;v-text-anchor:middle;" fillcolor="#FFFFFF [3212]" filled="t" stroked="t" coordsize="21600,21600" o:gfxdata="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U7Rsa1AAAAAUBAAAPAAAAAAAAAAEAIAAAACIAAABkcnMvZG93bnJldi54bWxQSwEC&#10;FAAUAAAACACHTuJAJjB6RDECAACQBAAADgAAAAAAAAABACAAAAAjAQAAZHJzL2Uyb0RvYy54bWxQ&#10;SwUGAAAAAAYABgBZAQAAxgUAAAAA&#10;">
                <v:fill on="t" focussize="0,0"/>
                <v:stroke weight="6pt" color="#FF0000" miterlimit="8" joinstyle="miter"/>
                <v:imagedata o:title=""/>
                <o:lock v:ext="edit" aspectratio="f"/>
                <v:textbox inset="2.5mm,2.5mm,2.5mm,2.5mm">
                  <w:txbxContent>
                    <w:p w14:paraId="2F72CA0C">
                      <w:pPr>
                        <w:shd w:val="clear" w:color="auto" w:fill="FFFFFF" w:themeFill="background1"/>
                        <w:spacing w:after="120" w:line="240" w:lineRule="auto"/>
                        <w:jc w:val="center"/>
                        <w:rPr>
                          <w:b/>
                          <w:bCs/>
                          <w:sz w:val="28"/>
                          <w:szCs w:val="28"/>
                          <w:shd w:val="clear" w:color="auto" w:fill="FFFFFF" w:themeFill="background1"/>
                        </w:rPr>
                      </w:pPr>
                      <w:r>
                        <w:rPr>
                          <w:b/>
                          <w:bCs/>
                          <w:sz w:val="28"/>
                          <w:szCs w:val="28"/>
                          <w:highlight w:val="yellow"/>
                          <w:shd w:val="clear" w:color="auto" w:fill="FFFFFF" w:themeFill="background1"/>
                        </w:rPr>
                        <w:t>USE OF AI TOOLS</w:t>
                      </w:r>
                    </w:p>
                    <w:p w14:paraId="26217B08">
                      <w:pPr>
                        <w:shd w:val="clear" w:color="auto" w:fill="FFFFFF" w:themeFill="background1"/>
                        <w:spacing w:after="120"/>
                        <w:rPr>
                          <w:rFonts w:eastAsia="Times New Roman" w:cstheme="minorHAnsi"/>
                          <w:color w:val="000000" w:themeColor="text1"/>
                          <w:sz w:val="22"/>
                          <w:shd w:val="clear" w:color="auto" w:fill="FFFFFF" w:themeFill="background1"/>
                          <w14:textFill>
                            <w14:solidFill>
                              <w14:schemeClr w14:val="tx1"/>
                            </w14:solidFill>
                          </w14:textFill>
                        </w:rPr>
                      </w:pPr>
                      <w:r>
                        <w:rPr>
                          <w:sz w:val="22"/>
                          <w:shd w:val="clear" w:color="auto" w:fill="FFFFFF" w:themeFill="background1"/>
                        </w:rPr>
                        <w:t xml:space="preserve">MH permits the use of AI tools </w:t>
                      </w:r>
                      <w:r>
                        <w:rPr>
                          <w:b/>
                          <w:bCs/>
                          <w:sz w:val="22"/>
                          <w:shd w:val="clear" w:color="auto" w:fill="FFFFFF" w:themeFill="background1"/>
                        </w:rPr>
                        <w:t>for idea generation and inspiration with the following caveats:</w:t>
                      </w:r>
                    </w:p>
                    <w:p w14:paraId="32D3E4A5">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sz w:val="22"/>
                          <w:shd w:val="clear" w:color="auto" w:fill="FFFFFF" w:themeFill="background1"/>
                        </w:rPr>
                        <w:t xml:space="preserve">Authors must </w:t>
                      </w:r>
                      <w:r>
                        <w:rPr>
                          <w:b/>
                          <w:bCs/>
                          <w:sz w:val="22"/>
                          <w:shd w:val="clear" w:color="auto" w:fill="FFFFFF" w:themeFill="background1"/>
                        </w:rPr>
                        <w:t>carefully review, substantially revise and disclose any</w:t>
                      </w:r>
                      <w:r>
                        <w:rPr>
                          <w:sz w:val="22"/>
                          <w:shd w:val="clear" w:color="auto" w:fill="FFFFFF" w:themeFill="background1"/>
                        </w:rPr>
                        <w:t xml:space="preserve"> AI-generated content.</w:t>
                      </w:r>
                    </w:p>
                    <w:p w14:paraId="093E02EE">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sz w:val="22"/>
                          <w:shd w:val="clear" w:color="auto" w:fill="FFFFFF" w:themeFill="background1"/>
                        </w:rPr>
                        <w:t xml:space="preserve">Authors are responsible for </w:t>
                      </w:r>
                      <w:r>
                        <w:rPr>
                          <w:b/>
                          <w:bCs/>
                          <w:sz w:val="22"/>
                          <w:shd w:val="clear" w:color="auto" w:fill="FFFFFF" w:themeFill="background1"/>
                        </w:rPr>
                        <w:t>ensuring accuracy, originality and integrity</w:t>
                      </w:r>
                      <w:r>
                        <w:rPr>
                          <w:sz w:val="22"/>
                          <w:shd w:val="clear" w:color="auto" w:fill="FFFFFF" w:themeFill="background1"/>
                        </w:rPr>
                        <w:t xml:space="preserve"> of their submissions.</w:t>
                      </w:r>
                    </w:p>
                    <w:p w14:paraId="02A3480A">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sz w:val="22"/>
                          <w:shd w:val="clear" w:color="auto" w:fill="FFFFFF" w:themeFill="background1"/>
                        </w:rPr>
                        <w:t xml:space="preserve">To disclose AI usage, </w:t>
                      </w:r>
                      <w:r>
                        <w:rPr>
                          <w:b/>
                          <w:bCs/>
                          <w:sz w:val="22"/>
                          <w:shd w:val="clear" w:color="auto" w:fill="FFFFFF" w:themeFill="background1"/>
                        </w:rPr>
                        <w:t>authors must complete the MH Form for Submitting AI Content.</w:t>
                      </w:r>
                    </w:p>
                    <w:p w14:paraId="39F9D06E">
                      <w:pPr>
                        <w:shd w:val="clear" w:color="auto" w:fill="FFFFFF" w:themeFill="background1"/>
                        <w:spacing w:after="120" w:line="240" w:lineRule="auto"/>
                        <w:rPr>
                          <w:sz w:val="22"/>
                          <w:shd w:val="clear" w:color="auto" w:fill="FFFFFF" w:themeFill="background1"/>
                        </w:rPr>
                      </w:pPr>
                      <w:r>
                        <w:rPr>
                          <w:sz w:val="22"/>
                          <w:shd w:val="clear" w:color="auto" w:fill="FFFFFF" w:themeFill="background1"/>
                        </w:rPr>
                        <w:t>For detailed guidelines on permissible AI use and reporting requirements, please reach out to your McGraw Hill contact.</w:t>
                      </w:r>
                    </w:p>
                  </w:txbxContent>
                </v:textbox>
                <w10:wrap type="none"/>
                <w10:anchorlock/>
              </v:shape>
            </w:pict>
          </mc:Fallback>
        </mc:AlternateContent>
      </w:r>
    </w:p>
    <w:p w14:paraId="202E5623">
      <w:pPr>
        <w:jc w:val="center"/>
      </w:pPr>
      <w:r>
        <mc:AlternateContent>
          <mc:Choice Requires="wps">
            <w:drawing>
              <wp:inline distT="0" distB="0" distL="0" distR="0">
                <wp:extent cx="5731510" cy="3956050"/>
                <wp:effectExtent l="38100" t="38100" r="40640" b="44450"/>
                <wp:docPr id="3" name="Text Box 3"/>
                <wp:cNvGraphicFramePr/>
                <a:graphic xmlns:a="http://schemas.openxmlformats.org/drawingml/2006/main">
                  <a:graphicData uri="http://schemas.microsoft.com/office/word/2010/wordprocessingShape">
                    <wps:wsp>
                      <wps:cNvSpPr txBox="1">
                        <a:spLocks noChangeArrowheads="1"/>
                      </wps:cNvSpPr>
                      <wps:spPr bwMode="auto">
                        <a:xfrm>
                          <a:off x="0" y="0"/>
                          <a:ext cx="5731510" cy="3956050"/>
                        </a:xfrm>
                        <a:prstGeom prst="rect">
                          <a:avLst/>
                        </a:prstGeom>
                        <a:solidFill>
                          <a:schemeClr val="bg1"/>
                        </a:solidFill>
                        <a:ln w="76200">
                          <a:solidFill>
                            <a:srgbClr val="FF0000"/>
                          </a:solidFill>
                          <a:miter lim="800000"/>
                        </a:ln>
                      </wps:spPr>
                      <wps:txbx>
                        <w:txbxContent>
                          <w:p w14:paraId="3F8DDF0B">
                            <w:pPr>
                              <w:shd w:val="clear" w:color="auto" w:fill="FFFFFF" w:themeFill="background1"/>
                              <w:spacing w:after="120" w:line="240" w:lineRule="auto"/>
                              <w:jc w:val="center"/>
                              <w:rPr>
                                <w:b/>
                                <w:bCs/>
                                <w:sz w:val="28"/>
                                <w:szCs w:val="28"/>
                                <w:shd w:val="clear" w:color="auto" w:fill="FFFFFF" w:themeFill="background1"/>
                              </w:rPr>
                            </w:pPr>
                            <w:r>
                              <w:rPr>
                                <w:b/>
                                <w:bCs/>
                                <w:sz w:val="28"/>
                                <w:szCs w:val="28"/>
                                <w:highlight w:val="yellow"/>
                                <w:shd w:val="clear" w:color="auto" w:fill="FFFFFF" w:themeFill="background1"/>
                              </w:rPr>
                              <w:t>REUSING EXTERNAL CONTENT</w:t>
                            </w:r>
                          </w:p>
                          <w:p w14:paraId="15A76964">
                            <w:pPr>
                              <w:shd w:val="clear" w:color="auto" w:fill="FFFFFF" w:themeFill="background1"/>
                              <w:spacing w:after="120"/>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b/>
                                <w:bCs/>
                                <w:color w:val="000000" w:themeColor="text1"/>
                                <w:sz w:val="22"/>
                                <w:shd w:val="clear" w:color="auto" w:fill="FFFFFF" w:themeFill="background1"/>
                                <w14:textFill>
                                  <w14:solidFill>
                                    <w14:schemeClr w14:val="tx1"/>
                                  </w14:solidFill>
                                </w14:textFill>
                              </w:rPr>
                              <w:t>If you take and re-use content (text, images, etc.) from external sources</w:t>
                            </w:r>
                            <w:r>
                              <w:rPr>
                                <w:rFonts w:eastAsia="Times New Roman" w:cstheme="minorHAnsi"/>
                                <w:color w:val="000000" w:themeColor="text1"/>
                                <w:sz w:val="22"/>
                                <w:shd w:val="clear" w:color="auto" w:fill="FFFFFF" w:themeFill="background1"/>
                                <w14:textFill>
                                  <w14:solidFill>
                                    <w14:schemeClr w14:val="tx1"/>
                                  </w14:solidFill>
                                </w14:textFill>
                              </w:rPr>
                              <w:t xml:space="preserve"> (e.g. from books, journal articles, websites, etc.)—including your own published work—</w:t>
                            </w:r>
                            <w:r>
                              <w:rPr>
                                <w:rFonts w:eastAsia="Times New Roman" w:cstheme="minorHAnsi"/>
                                <w:b/>
                                <w:bCs/>
                                <w:color w:val="000000" w:themeColor="text1"/>
                                <w:sz w:val="22"/>
                                <w:shd w:val="clear" w:color="auto" w:fill="FFFFFF" w:themeFill="background1"/>
                                <w14:textFill>
                                  <w14:solidFill>
                                    <w14:schemeClr w14:val="tx1"/>
                                  </w14:solidFill>
                                </w14:textFill>
                              </w:rPr>
                              <w:t>it must be properly referenced in the text</w:t>
                            </w:r>
                            <w:r>
                              <w:rPr>
                                <w:rFonts w:eastAsia="Times New Roman" w:cstheme="minorHAnsi"/>
                                <w:color w:val="000000" w:themeColor="text1"/>
                                <w:sz w:val="22"/>
                                <w:shd w:val="clear" w:color="auto" w:fill="FFFFFF" w:themeFill="background1"/>
                                <w14:textFill>
                                  <w14:solidFill>
                                    <w14:schemeClr w14:val="tx1"/>
                                  </w14:solidFill>
                                </w14:textFill>
                              </w:rPr>
                              <w:t xml:space="preserve"> and listed in the References section with full bibliographic details.</w:t>
                            </w:r>
                          </w:p>
                          <w:p w14:paraId="5282CF7C">
                            <w:pPr>
                              <w:shd w:val="clear" w:color="auto" w:fill="FFFFFF" w:themeFill="background1"/>
                              <w:spacing w:after="120"/>
                              <w:rPr>
                                <w:rFonts w:eastAsia="Times New Roman" w:cstheme="minorHAnsi"/>
                                <w:b/>
                                <w:bCs/>
                                <w:color w:val="000000" w:themeColor="text1"/>
                                <w:sz w:val="22"/>
                                <w:shd w:val="clear" w:color="auto" w:fill="FFFFFF" w:themeFill="background1"/>
                                <w14:textFill>
                                  <w14:solidFill>
                                    <w14:schemeClr w14:val="tx1"/>
                                  </w14:solidFill>
                                </w14:textFill>
                              </w:rPr>
                            </w:pPr>
                            <w:r>
                              <w:rPr>
                                <w:rFonts w:eastAsia="Times New Roman" w:cstheme="minorHAnsi"/>
                                <w:b/>
                                <w:bCs/>
                                <w:color w:val="000000" w:themeColor="text1"/>
                                <w:sz w:val="22"/>
                                <w:shd w:val="clear" w:color="auto" w:fill="FFFFFF" w:themeFill="background1"/>
                                <w14:textFill>
                                  <w14:solidFill>
                                    <w14:schemeClr w14:val="tx1"/>
                                  </w14:solidFill>
                                </w14:textFill>
                              </w:rPr>
                              <w:t xml:space="preserve">Re-using published materials may require copyright permission. To avoid this, paraphrase or adapt content, </w:t>
                            </w:r>
                            <w:r>
                              <w:rPr>
                                <w:rFonts w:eastAsia="Times New Roman" w:cstheme="minorHAnsi"/>
                                <w:color w:val="000000" w:themeColor="text1"/>
                                <w:sz w:val="22"/>
                                <w:shd w:val="clear" w:color="auto" w:fill="FFFFFF" w:themeFill="background1"/>
                                <w14:textFill>
                                  <w14:solidFill>
                                    <w14:schemeClr w14:val="tx1"/>
                                  </w14:solidFill>
                                </w14:textFill>
                              </w:rPr>
                              <w:t>ensuring your expression is original and does not closely follow the structure of the source.</w:t>
                            </w:r>
                          </w:p>
                          <w:p w14:paraId="6C602932">
                            <w:pPr>
                              <w:shd w:val="clear" w:color="auto" w:fill="FFFFFF" w:themeFill="background1"/>
                              <w:spacing w:after="120"/>
                              <w:rPr>
                                <w:rFonts w:eastAsia="Times New Roman" w:cstheme="minorHAnsi"/>
                                <w:b/>
                                <w:bCs/>
                                <w:color w:val="000000" w:themeColor="text1"/>
                                <w:sz w:val="22"/>
                                <w:shd w:val="clear" w:color="auto" w:fill="FFFFFF" w:themeFill="background1"/>
                                <w14:textFill>
                                  <w14:solidFill>
                                    <w14:schemeClr w14:val="tx1"/>
                                  </w14:solidFill>
                                </w14:textFill>
                              </w:rPr>
                            </w:pPr>
                            <w:r>
                              <w:rPr>
                                <w:rFonts w:eastAsia="Times New Roman" w:cstheme="minorHAnsi"/>
                                <w:b/>
                                <w:bCs/>
                                <w:color w:val="000000" w:themeColor="text1"/>
                                <w:sz w:val="22"/>
                                <w:shd w:val="clear" w:color="auto" w:fill="FFFFFF" w:themeFill="background1"/>
                                <w14:textFill>
                                  <w14:solidFill>
                                    <w14:schemeClr w14:val="tx1"/>
                                  </w14:solidFill>
                                </w14:textFill>
                              </w:rPr>
                              <w:t>REQUIRED DETAILS FOR RE-USED CONTENT</w:t>
                            </w:r>
                          </w:p>
                          <w:p w14:paraId="27429347">
                            <w:pPr>
                              <w:shd w:val="clear" w:color="auto" w:fill="FFFFFF" w:themeFill="background1"/>
                              <w:spacing w:after="0"/>
                              <w:contextualSpacing/>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For all external materials, please provide:</w:t>
                            </w:r>
                          </w:p>
                          <w:p w14:paraId="202C7828">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Author(s)</w:t>
                            </w:r>
                          </w:p>
                          <w:p w14:paraId="06B85A61">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Title (book/article/journal)</w:t>
                            </w:r>
                          </w:p>
                          <w:p w14:paraId="6010B4A3">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Edition/journal number</w:t>
                            </w:r>
                          </w:p>
                          <w:p w14:paraId="593D0AC8">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Year published</w:t>
                            </w:r>
                          </w:p>
                          <w:p w14:paraId="37483675">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Page number (if applicable)</w:t>
                            </w:r>
                          </w:p>
                          <w:p w14:paraId="54C8D98E">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Original artwork title and figure/table number (e.g., Figure 3.4, Table 2.6)</w:t>
                            </w:r>
                          </w:p>
                          <w:p w14:paraId="7E180C44">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Website URL</w:t>
                            </w:r>
                          </w:p>
                          <w:p w14:paraId="79FB0E87">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Screenshot or PDF of the source (if possible).</w:t>
                            </w:r>
                          </w:p>
                          <w:p w14:paraId="0A1D0076">
                            <w:pPr>
                              <w:shd w:val="clear" w:color="auto" w:fill="FFFFFF" w:themeFill="background1"/>
                              <w:spacing w:after="120"/>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If unsure about requirements, add a “Comment” in this document with relevant details.</w:t>
                            </w:r>
                          </w:p>
                        </w:txbxContent>
                      </wps:txbx>
                      <wps:bodyPr rot="0" vert="horz" wrap="square" lIns="90000" tIns="90000" rIns="90000" bIns="90000" anchor="ctr" anchorCtr="0">
                        <a:noAutofit/>
                      </wps:bodyPr>
                    </wps:wsp>
                  </a:graphicData>
                </a:graphic>
              </wp:inline>
            </w:drawing>
          </mc:Choice>
          <mc:Fallback>
            <w:pict>
              <v:shape id="Text Box 3" o:spid="_x0000_s1026" o:spt="202" type="#_x0000_t202" style="height:311.5pt;width:451.3pt;v-text-anchor:middle;" fillcolor="#FFFFFF [3212]" filled="t" stroked="t" coordsize="21600,21600" o:gfxdata="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MqZ&#10;SM7UAAAABQEAAA8AAAAAAAAAAQAgAAAAIgAAAGRycy9kb3ducmV2LnhtbFBLAQIUABQAAAAIAIdO&#10;4kCClOccJwIAAH4EAAAOAAAAAAAAAAEAIAAAACMBAABkcnMvZTJvRG9jLnhtbFBLBQYAAAAABgAG&#10;AFkBAAC8BQAAAAA=&#10;">
                <v:fill on="t" focussize="0,0"/>
                <v:stroke weight="6pt" color="#FF0000" miterlimit="8" joinstyle="miter"/>
                <v:imagedata o:title=""/>
                <o:lock v:ext="edit" aspectratio="f"/>
                <v:textbox inset="2.5mm,2.5mm,2.5mm,2.5mm">
                  <w:txbxContent>
                    <w:p w14:paraId="3F8DDF0B">
                      <w:pPr>
                        <w:shd w:val="clear" w:color="auto" w:fill="FFFFFF" w:themeFill="background1"/>
                        <w:spacing w:after="120" w:line="240" w:lineRule="auto"/>
                        <w:jc w:val="center"/>
                        <w:rPr>
                          <w:b/>
                          <w:bCs/>
                          <w:sz w:val="28"/>
                          <w:szCs w:val="28"/>
                          <w:shd w:val="clear" w:color="auto" w:fill="FFFFFF" w:themeFill="background1"/>
                        </w:rPr>
                      </w:pPr>
                      <w:r>
                        <w:rPr>
                          <w:b/>
                          <w:bCs/>
                          <w:sz w:val="28"/>
                          <w:szCs w:val="28"/>
                          <w:highlight w:val="yellow"/>
                          <w:shd w:val="clear" w:color="auto" w:fill="FFFFFF" w:themeFill="background1"/>
                        </w:rPr>
                        <w:t>REUSING EXTERNAL CONTENT</w:t>
                      </w:r>
                    </w:p>
                    <w:p w14:paraId="15A76964">
                      <w:pPr>
                        <w:shd w:val="clear" w:color="auto" w:fill="FFFFFF" w:themeFill="background1"/>
                        <w:spacing w:after="120"/>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b/>
                          <w:bCs/>
                          <w:color w:val="000000" w:themeColor="text1"/>
                          <w:sz w:val="22"/>
                          <w:shd w:val="clear" w:color="auto" w:fill="FFFFFF" w:themeFill="background1"/>
                          <w14:textFill>
                            <w14:solidFill>
                              <w14:schemeClr w14:val="tx1"/>
                            </w14:solidFill>
                          </w14:textFill>
                        </w:rPr>
                        <w:t>If you take and re-use content (text, images, etc.) from external sources</w:t>
                      </w:r>
                      <w:r>
                        <w:rPr>
                          <w:rFonts w:eastAsia="Times New Roman" w:cstheme="minorHAnsi"/>
                          <w:color w:val="000000" w:themeColor="text1"/>
                          <w:sz w:val="22"/>
                          <w:shd w:val="clear" w:color="auto" w:fill="FFFFFF" w:themeFill="background1"/>
                          <w14:textFill>
                            <w14:solidFill>
                              <w14:schemeClr w14:val="tx1"/>
                            </w14:solidFill>
                          </w14:textFill>
                        </w:rPr>
                        <w:t xml:space="preserve"> (e.g. from books, journal articles, websites, etc.)—including your own published work—</w:t>
                      </w:r>
                      <w:r>
                        <w:rPr>
                          <w:rFonts w:eastAsia="Times New Roman" w:cstheme="minorHAnsi"/>
                          <w:b/>
                          <w:bCs/>
                          <w:color w:val="000000" w:themeColor="text1"/>
                          <w:sz w:val="22"/>
                          <w:shd w:val="clear" w:color="auto" w:fill="FFFFFF" w:themeFill="background1"/>
                          <w14:textFill>
                            <w14:solidFill>
                              <w14:schemeClr w14:val="tx1"/>
                            </w14:solidFill>
                          </w14:textFill>
                        </w:rPr>
                        <w:t>it must be properly referenced in the text</w:t>
                      </w:r>
                      <w:r>
                        <w:rPr>
                          <w:rFonts w:eastAsia="Times New Roman" w:cstheme="minorHAnsi"/>
                          <w:color w:val="000000" w:themeColor="text1"/>
                          <w:sz w:val="22"/>
                          <w:shd w:val="clear" w:color="auto" w:fill="FFFFFF" w:themeFill="background1"/>
                          <w14:textFill>
                            <w14:solidFill>
                              <w14:schemeClr w14:val="tx1"/>
                            </w14:solidFill>
                          </w14:textFill>
                        </w:rPr>
                        <w:t xml:space="preserve"> and listed in the References section with full bibliographic details.</w:t>
                      </w:r>
                    </w:p>
                    <w:p w14:paraId="5282CF7C">
                      <w:pPr>
                        <w:shd w:val="clear" w:color="auto" w:fill="FFFFFF" w:themeFill="background1"/>
                        <w:spacing w:after="120"/>
                        <w:rPr>
                          <w:rFonts w:eastAsia="Times New Roman" w:cstheme="minorHAnsi"/>
                          <w:b/>
                          <w:bCs/>
                          <w:color w:val="000000" w:themeColor="text1"/>
                          <w:sz w:val="22"/>
                          <w:shd w:val="clear" w:color="auto" w:fill="FFFFFF" w:themeFill="background1"/>
                          <w14:textFill>
                            <w14:solidFill>
                              <w14:schemeClr w14:val="tx1"/>
                            </w14:solidFill>
                          </w14:textFill>
                        </w:rPr>
                      </w:pPr>
                      <w:r>
                        <w:rPr>
                          <w:rFonts w:eastAsia="Times New Roman" w:cstheme="minorHAnsi"/>
                          <w:b/>
                          <w:bCs/>
                          <w:color w:val="000000" w:themeColor="text1"/>
                          <w:sz w:val="22"/>
                          <w:shd w:val="clear" w:color="auto" w:fill="FFFFFF" w:themeFill="background1"/>
                          <w14:textFill>
                            <w14:solidFill>
                              <w14:schemeClr w14:val="tx1"/>
                            </w14:solidFill>
                          </w14:textFill>
                        </w:rPr>
                        <w:t xml:space="preserve">Re-using published materials may require copyright permission. To avoid this, paraphrase or adapt content, </w:t>
                      </w:r>
                      <w:r>
                        <w:rPr>
                          <w:rFonts w:eastAsia="Times New Roman" w:cstheme="minorHAnsi"/>
                          <w:color w:val="000000" w:themeColor="text1"/>
                          <w:sz w:val="22"/>
                          <w:shd w:val="clear" w:color="auto" w:fill="FFFFFF" w:themeFill="background1"/>
                          <w14:textFill>
                            <w14:solidFill>
                              <w14:schemeClr w14:val="tx1"/>
                            </w14:solidFill>
                          </w14:textFill>
                        </w:rPr>
                        <w:t>ensuring your expression is original and does not closely follow the structure of the source.</w:t>
                      </w:r>
                    </w:p>
                    <w:p w14:paraId="6C602932">
                      <w:pPr>
                        <w:shd w:val="clear" w:color="auto" w:fill="FFFFFF" w:themeFill="background1"/>
                        <w:spacing w:after="120"/>
                        <w:rPr>
                          <w:rFonts w:eastAsia="Times New Roman" w:cstheme="minorHAnsi"/>
                          <w:b/>
                          <w:bCs/>
                          <w:color w:val="000000" w:themeColor="text1"/>
                          <w:sz w:val="22"/>
                          <w:shd w:val="clear" w:color="auto" w:fill="FFFFFF" w:themeFill="background1"/>
                          <w14:textFill>
                            <w14:solidFill>
                              <w14:schemeClr w14:val="tx1"/>
                            </w14:solidFill>
                          </w14:textFill>
                        </w:rPr>
                      </w:pPr>
                      <w:r>
                        <w:rPr>
                          <w:rFonts w:eastAsia="Times New Roman" w:cstheme="minorHAnsi"/>
                          <w:b/>
                          <w:bCs/>
                          <w:color w:val="000000" w:themeColor="text1"/>
                          <w:sz w:val="22"/>
                          <w:shd w:val="clear" w:color="auto" w:fill="FFFFFF" w:themeFill="background1"/>
                          <w14:textFill>
                            <w14:solidFill>
                              <w14:schemeClr w14:val="tx1"/>
                            </w14:solidFill>
                          </w14:textFill>
                        </w:rPr>
                        <w:t>REQUIRED DETAILS FOR RE-USED CONTENT</w:t>
                      </w:r>
                    </w:p>
                    <w:p w14:paraId="27429347">
                      <w:pPr>
                        <w:shd w:val="clear" w:color="auto" w:fill="FFFFFF" w:themeFill="background1"/>
                        <w:spacing w:after="0"/>
                        <w:contextualSpacing/>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For all external materials, please provide:</w:t>
                      </w:r>
                    </w:p>
                    <w:p w14:paraId="202C7828">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Author(s)</w:t>
                      </w:r>
                    </w:p>
                    <w:p w14:paraId="06B85A61">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Title (book/article/journal)</w:t>
                      </w:r>
                    </w:p>
                    <w:p w14:paraId="6010B4A3">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Edition/journal number</w:t>
                      </w:r>
                    </w:p>
                    <w:p w14:paraId="593D0AC8">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Year published</w:t>
                      </w:r>
                    </w:p>
                    <w:p w14:paraId="37483675">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Page number (if applicable)</w:t>
                      </w:r>
                    </w:p>
                    <w:p w14:paraId="54C8D98E">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Original artwork title and figure/table number (e.g., Figure 3.4, Table 2.6)</w:t>
                      </w:r>
                    </w:p>
                    <w:p w14:paraId="7E180C44">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Website URL</w:t>
                      </w:r>
                    </w:p>
                    <w:p w14:paraId="79FB0E87">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Screenshot or PDF of the source (if possible).</w:t>
                      </w:r>
                    </w:p>
                    <w:p w14:paraId="0A1D0076">
                      <w:pPr>
                        <w:shd w:val="clear" w:color="auto" w:fill="FFFFFF" w:themeFill="background1"/>
                        <w:spacing w:after="120"/>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If unsure about requirements, add a “Comment” in this document with relevant details.</w:t>
                      </w:r>
                    </w:p>
                  </w:txbxContent>
                </v:textbox>
                <w10:wrap type="none"/>
                <w10:anchorlock/>
              </v:shape>
            </w:pict>
          </mc:Fallback>
        </mc:AlternateContent>
      </w:r>
    </w:p>
    <w:p w14:paraId="77321B8C">
      <w:r>
        <mc:AlternateContent>
          <mc:Choice Requires="wps">
            <w:drawing>
              <wp:inline distT="0" distB="0" distL="0" distR="0">
                <wp:extent cx="5731510" cy="1149350"/>
                <wp:effectExtent l="38100" t="38100" r="40640" b="31750"/>
                <wp:docPr id="4" name="Text Box 4"/>
                <wp:cNvGraphicFramePr/>
                <a:graphic xmlns:a="http://schemas.openxmlformats.org/drawingml/2006/main">
                  <a:graphicData uri="http://schemas.microsoft.com/office/word/2010/wordprocessingShape">
                    <wps:wsp>
                      <wps:cNvSpPr txBox="1">
                        <a:spLocks noChangeArrowheads="1"/>
                      </wps:cNvSpPr>
                      <wps:spPr bwMode="auto">
                        <a:xfrm>
                          <a:off x="0" y="0"/>
                          <a:ext cx="5731510" cy="1149350"/>
                        </a:xfrm>
                        <a:prstGeom prst="rect">
                          <a:avLst/>
                        </a:prstGeom>
                        <a:solidFill>
                          <a:schemeClr val="bg1"/>
                        </a:solidFill>
                        <a:ln w="76200">
                          <a:solidFill>
                            <a:srgbClr val="FF0000"/>
                          </a:solidFill>
                          <a:miter lim="800000"/>
                        </a:ln>
                      </wps:spPr>
                      <wps:txbx>
                        <w:txbxContent>
                          <w:p w14:paraId="13F0741B">
                            <w:pPr>
                              <w:shd w:val="clear" w:color="auto" w:fill="FFFFFF" w:themeFill="background1"/>
                              <w:spacing w:after="120" w:line="240" w:lineRule="auto"/>
                              <w:jc w:val="center"/>
                              <w:rPr>
                                <w:b/>
                                <w:bCs/>
                                <w:sz w:val="28"/>
                                <w:szCs w:val="28"/>
                                <w:highlight w:val="yellow"/>
                                <w:shd w:val="clear" w:color="auto" w:fill="FFFFFF" w:themeFill="background1"/>
                              </w:rPr>
                            </w:pPr>
                            <w:r>
                              <w:rPr>
                                <w:b/>
                                <w:bCs/>
                                <w:sz w:val="28"/>
                                <w:szCs w:val="28"/>
                                <w:highlight w:val="yellow"/>
                                <w:shd w:val="clear" w:color="auto" w:fill="FFFFFF" w:themeFill="background1"/>
                              </w:rPr>
                              <w:t>UNITES OF MEASUREMENT</w:t>
                            </w:r>
                          </w:p>
                          <w:p w14:paraId="0EF7AC92">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 xml:space="preserve">For temperature, use the </w:t>
                            </w:r>
                            <w:r>
                              <w:rPr>
                                <w:rFonts w:eastAsia="Times New Roman" w:cstheme="minorHAnsi"/>
                                <w:b/>
                                <w:bCs/>
                                <w:color w:val="000000" w:themeColor="text1"/>
                                <w:sz w:val="22"/>
                                <w:shd w:val="clear" w:color="auto" w:fill="FFFFFF" w:themeFill="background1"/>
                                <w14:textFill>
                                  <w14:solidFill>
                                    <w14:schemeClr w14:val="tx1"/>
                                  </w14:solidFill>
                                </w14:textFill>
                              </w:rPr>
                              <w:t>Celsius</w:t>
                            </w:r>
                            <w:r>
                              <w:rPr>
                                <w:rFonts w:eastAsia="Times New Roman" w:cstheme="minorHAnsi"/>
                                <w:color w:val="000000" w:themeColor="text1"/>
                                <w:sz w:val="22"/>
                                <w:shd w:val="clear" w:color="auto" w:fill="FFFFFF" w:themeFill="background1"/>
                                <w14:textFill>
                                  <w14:solidFill>
                                    <w14:schemeClr w14:val="tx1"/>
                                  </w14:solidFill>
                                </w14:textFill>
                              </w:rPr>
                              <w:t xml:space="preserve"> scale.</w:t>
                            </w:r>
                          </w:p>
                          <w:p w14:paraId="4B51246B">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 xml:space="preserve">For any other unites of measurements, follow the </w:t>
                            </w:r>
                            <w:r>
                              <w:rPr>
                                <w:rFonts w:eastAsia="Times New Roman" w:cstheme="minorHAnsi"/>
                                <w:b/>
                                <w:bCs/>
                                <w:color w:val="000000" w:themeColor="text1"/>
                                <w:sz w:val="22"/>
                                <w:shd w:val="clear" w:color="auto" w:fill="FFFFFF" w:themeFill="background1"/>
                                <w14:textFill>
                                  <w14:solidFill>
                                    <w14:schemeClr w14:val="tx1"/>
                                  </w14:solidFill>
                                </w14:textFill>
                              </w:rPr>
                              <w:t>International System of Units (SI):</w:t>
                            </w:r>
                            <w:r>
                              <w:rPr>
                                <w:rFonts w:eastAsia="Times New Roman" w:cstheme="minorHAnsi"/>
                                <w:color w:val="000000" w:themeColor="text1"/>
                                <w:sz w:val="22"/>
                                <w:shd w:val="clear" w:color="auto" w:fill="FFFFFF" w:themeFill="background1"/>
                                <w14:textFill>
                                  <w14:solidFill>
                                    <w14:schemeClr w14:val="tx1"/>
                                  </w14:solidFill>
                                </w14:textFill>
                              </w:rPr>
                              <w:t xml:space="preserve"> </w:t>
                            </w:r>
                            <w:r>
                              <w:fldChar w:fldCharType="begin"/>
                            </w:r>
                            <w:r>
                              <w:instrText xml:space="preserve"> HYPERLINK "https://www.bipm.org/en/measurement-units/si-base-units" </w:instrText>
                            </w:r>
                            <w:r>
                              <w:fldChar w:fldCharType="separate"/>
                            </w:r>
                            <w:r>
                              <w:rPr>
                                <w:rStyle w:val="17"/>
                                <w:rFonts w:eastAsia="Times New Roman" w:cstheme="minorHAnsi"/>
                                <w:sz w:val="22"/>
                                <w:shd w:val="clear" w:color="auto" w:fill="FFFFFF" w:themeFill="background1"/>
                              </w:rPr>
                              <w:t>https://www.bipm.org/en/measurement-units/si-base-units</w:t>
                            </w:r>
                            <w:r>
                              <w:rPr>
                                <w:rStyle w:val="17"/>
                                <w:rFonts w:eastAsia="Times New Roman" w:cstheme="minorHAnsi"/>
                                <w:sz w:val="22"/>
                                <w:shd w:val="clear" w:color="auto" w:fill="FFFFFF" w:themeFill="background1"/>
                              </w:rPr>
                              <w:fldChar w:fldCharType="end"/>
                            </w:r>
                          </w:p>
                          <w:p w14:paraId="67A0D838">
                            <w:pPr>
                              <w:shd w:val="clear" w:color="auto" w:fill="FFFFFF" w:themeFill="background1"/>
                              <w:spacing w:after="0"/>
                              <w:rPr>
                                <w:sz w:val="22"/>
                                <w:shd w:val="clear" w:color="auto" w:fill="FFFFFF" w:themeFill="background1"/>
                              </w:rPr>
                            </w:pPr>
                          </w:p>
                          <w:p w14:paraId="02EEF045">
                            <w:pPr>
                              <w:shd w:val="clear" w:color="auto" w:fill="FFFFFF" w:themeFill="background1"/>
                              <w:spacing w:after="0"/>
                              <w:rPr>
                                <w:sz w:val="22"/>
                                <w:shd w:val="clear" w:color="auto" w:fill="FFFFFF" w:themeFill="background1"/>
                              </w:rPr>
                            </w:pPr>
                          </w:p>
                        </w:txbxContent>
                      </wps:txbx>
                      <wps:bodyPr rot="0" vert="horz" wrap="square" lIns="90000" tIns="90000" rIns="90000" bIns="90000" anchor="ctr" anchorCtr="0">
                        <a:noAutofit/>
                      </wps:bodyPr>
                    </wps:wsp>
                  </a:graphicData>
                </a:graphic>
              </wp:inline>
            </w:drawing>
          </mc:Choice>
          <mc:Fallback>
            <w:pict>
              <v:shape id="Text Box 4" o:spid="_x0000_s1026" o:spt="202" type="#_x0000_t202" style="height:90.5pt;width:451.3pt;v-text-anchor:middle;" fillcolor="#FFFFFF [3212]" filled="t" stroked="t" coordsize="21600,21600" o:gfxdata="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3Z&#10;aaDTAAAABQEAAA8AAAAAAAAAAQAgAAAAIgAAAGRycy9kb3ducmV2LnhtbFBLAQIUABQAAAAIAIdO&#10;4kB2zwZzKAIAAH4EAAAOAAAAAAAAAAEAIAAAACIBAABkcnMvZTJvRG9jLnhtbFBLBQYAAAAABgAG&#10;AFkBAAC8BQAAAAA=&#10;">
                <v:fill on="t" focussize="0,0"/>
                <v:stroke weight="6pt" color="#FF0000" miterlimit="8" joinstyle="miter"/>
                <v:imagedata o:title=""/>
                <o:lock v:ext="edit" aspectratio="f"/>
                <v:textbox inset="2.5mm,2.5mm,2.5mm,2.5mm">
                  <w:txbxContent>
                    <w:p w14:paraId="13F0741B">
                      <w:pPr>
                        <w:shd w:val="clear" w:color="auto" w:fill="FFFFFF" w:themeFill="background1"/>
                        <w:spacing w:after="120" w:line="240" w:lineRule="auto"/>
                        <w:jc w:val="center"/>
                        <w:rPr>
                          <w:b/>
                          <w:bCs/>
                          <w:sz w:val="28"/>
                          <w:szCs w:val="28"/>
                          <w:highlight w:val="yellow"/>
                          <w:shd w:val="clear" w:color="auto" w:fill="FFFFFF" w:themeFill="background1"/>
                        </w:rPr>
                      </w:pPr>
                      <w:r>
                        <w:rPr>
                          <w:b/>
                          <w:bCs/>
                          <w:sz w:val="28"/>
                          <w:szCs w:val="28"/>
                          <w:highlight w:val="yellow"/>
                          <w:shd w:val="clear" w:color="auto" w:fill="FFFFFF" w:themeFill="background1"/>
                        </w:rPr>
                        <w:t>UNITES OF MEASUREMENT</w:t>
                      </w:r>
                    </w:p>
                    <w:p w14:paraId="0EF7AC92">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 xml:space="preserve">For temperature, use the </w:t>
                      </w:r>
                      <w:r>
                        <w:rPr>
                          <w:rFonts w:eastAsia="Times New Roman" w:cstheme="minorHAnsi"/>
                          <w:b/>
                          <w:bCs/>
                          <w:color w:val="000000" w:themeColor="text1"/>
                          <w:sz w:val="22"/>
                          <w:shd w:val="clear" w:color="auto" w:fill="FFFFFF" w:themeFill="background1"/>
                          <w14:textFill>
                            <w14:solidFill>
                              <w14:schemeClr w14:val="tx1"/>
                            </w14:solidFill>
                          </w14:textFill>
                        </w:rPr>
                        <w:t>Celsius</w:t>
                      </w:r>
                      <w:r>
                        <w:rPr>
                          <w:rFonts w:eastAsia="Times New Roman" w:cstheme="minorHAnsi"/>
                          <w:color w:val="000000" w:themeColor="text1"/>
                          <w:sz w:val="22"/>
                          <w:shd w:val="clear" w:color="auto" w:fill="FFFFFF" w:themeFill="background1"/>
                          <w14:textFill>
                            <w14:solidFill>
                              <w14:schemeClr w14:val="tx1"/>
                            </w14:solidFill>
                          </w14:textFill>
                        </w:rPr>
                        <w:t xml:space="preserve"> scale.</w:t>
                      </w:r>
                    </w:p>
                    <w:p w14:paraId="4B51246B">
                      <w:pPr>
                        <w:pStyle w:val="24"/>
                        <w:numPr>
                          <w:ilvl w:val="0"/>
                          <w:numId w:val="1"/>
                        </w:numPr>
                        <w:shd w:val="clear" w:color="auto" w:fill="FFFFFF" w:themeFill="background1"/>
                        <w:spacing w:after="120"/>
                        <w:ind w:left="567"/>
                        <w:rPr>
                          <w:rFonts w:eastAsia="Times New Roman" w:cstheme="minorHAnsi"/>
                          <w:color w:val="000000" w:themeColor="text1"/>
                          <w:sz w:val="22"/>
                          <w:shd w:val="clear" w:color="auto" w:fill="FFFFFF" w:themeFill="background1"/>
                          <w14:textFill>
                            <w14:solidFill>
                              <w14:schemeClr w14:val="tx1"/>
                            </w14:solidFill>
                          </w14:textFill>
                        </w:rPr>
                      </w:pPr>
                      <w:r>
                        <w:rPr>
                          <w:rFonts w:eastAsia="Times New Roman" w:cstheme="minorHAnsi"/>
                          <w:color w:val="000000" w:themeColor="text1"/>
                          <w:sz w:val="22"/>
                          <w:shd w:val="clear" w:color="auto" w:fill="FFFFFF" w:themeFill="background1"/>
                          <w14:textFill>
                            <w14:solidFill>
                              <w14:schemeClr w14:val="tx1"/>
                            </w14:solidFill>
                          </w14:textFill>
                        </w:rPr>
                        <w:t xml:space="preserve">For any other unites of measurements, follow the </w:t>
                      </w:r>
                      <w:r>
                        <w:rPr>
                          <w:rFonts w:eastAsia="Times New Roman" w:cstheme="minorHAnsi"/>
                          <w:b/>
                          <w:bCs/>
                          <w:color w:val="000000" w:themeColor="text1"/>
                          <w:sz w:val="22"/>
                          <w:shd w:val="clear" w:color="auto" w:fill="FFFFFF" w:themeFill="background1"/>
                          <w14:textFill>
                            <w14:solidFill>
                              <w14:schemeClr w14:val="tx1"/>
                            </w14:solidFill>
                          </w14:textFill>
                        </w:rPr>
                        <w:t>International System of Units (SI):</w:t>
                      </w:r>
                      <w:r>
                        <w:rPr>
                          <w:rFonts w:eastAsia="Times New Roman" w:cstheme="minorHAnsi"/>
                          <w:color w:val="000000" w:themeColor="text1"/>
                          <w:sz w:val="22"/>
                          <w:shd w:val="clear" w:color="auto" w:fill="FFFFFF" w:themeFill="background1"/>
                          <w14:textFill>
                            <w14:solidFill>
                              <w14:schemeClr w14:val="tx1"/>
                            </w14:solidFill>
                          </w14:textFill>
                        </w:rPr>
                        <w:t xml:space="preserve"> </w:t>
                      </w:r>
                      <w:r>
                        <w:fldChar w:fldCharType="begin"/>
                      </w:r>
                      <w:r>
                        <w:instrText xml:space="preserve"> HYPERLINK "https://www.bipm.org/en/measurement-units/si-base-units" </w:instrText>
                      </w:r>
                      <w:r>
                        <w:fldChar w:fldCharType="separate"/>
                      </w:r>
                      <w:r>
                        <w:rPr>
                          <w:rStyle w:val="17"/>
                          <w:rFonts w:eastAsia="Times New Roman" w:cstheme="minorHAnsi"/>
                          <w:sz w:val="22"/>
                          <w:shd w:val="clear" w:color="auto" w:fill="FFFFFF" w:themeFill="background1"/>
                        </w:rPr>
                        <w:t>https://www.bipm.org/en/measurement-units/si-base-units</w:t>
                      </w:r>
                      <w:r>
                        <w:rPr>
                          <w:rStyle w:val="17"/>
                          <w:rFonts w:eastAsia="Times New Roman" w:cstheme="minorHAnsi"/>
                          <w:sz w:val="22"/>
                          <w:shd w:val="clear" w:color="auto" w:fill="FFFFFF" w:themeFill="background1"/>
                        </w:rPr>
                        <w:fldChar w:fldCharType="end"/>
                      </w:r>
                    </w:p>
                    <w:p w14:paraId="67A0D838">
                      <w:pPr>
                        <w:shd w:val="clear" w:color="auto" w:fill="FFFFFF" w:themeFill="background1"/>
                        <w:spacing w:after="0"/>
                        <w:rPr>
                          <w:sz w:val="22"/>
                          <w:shd w:val="clear" w:color="auto" w:fill="FFFFFF" w:themeFill="background1"/>
                        </w:rPr>
                      </w:pPr>
                    </w:p>
                    <w:p w14:paraId="02EEF045">
                      <w:pPr>
                        <w:shd w:val="clear" w:color="auto" w:fill="FFFFFF" w:themeFill="background1"/>
                        <w:spacing w:after="0"/>
                        <w:rPr>
                          <w:sz w:val="22"/>
                          <w:shd w:val="clear" w:color="auto" w:fill="FFFFFF" w:themeFill="background1"/>
                        </w:rPr>
                      </w:pPr>
                    </w:p>
                  </w:txbxContent>
                </v:textbox>
                <w10:wrap type="none"/>
                <w10:anchorlock/>
              </v:shape>
            </w:pict>
          </mc:Fallback>
        </mc:AlternateContent>
      </w:r>
    </w:p>
    <w:p w14:paraId="0D1517B4"/>
    <w:p w14:paraId="0C24476A">
      <w:pPr>
        <w:pStyle w:val="2"/>
      </w:pPr>
      <w:r>
        <w:t xml:space="preserve">Case </w:t>
      </w:r>
      <w:r>
        <w:rPr>
          <w:color w:val="auto"/>
          <w:highlight w:val="lightGray"/>
        </w:rPr>
        <w:t>(~400-600 words)</w:t>
      </w:r>
    </w:p>
    <w:p w14:paraId="17B26DA0">
      <w:pPr>
        <w:pStyle w:val="3"/>
        <w:rPr>
          <w:color w:val="auto"/>
        </w:rPr>
      </w:pPr>
      <w:r>
        <w:rPr>
          <w:color w:val="auto"/>
          <w:highlight w:val="lightGray"/>
        </w:rPr>
        <w:t>Case Vignette and Questions (~150-200 words)</w:t>
      </w:r>
    </w:p>
    <w:p w14:paraId="2DF3A9DE">
      <w:r>
        <w:t>Your case scenario starts here. For example: A 35-year-old female…</w:t>
      </w:r>
    </w:p>
    <w:p w14:paraId="46604001"/>
    <w:p w14:paraId="56E362EB">
      <w:pPr>
        <w:pStyle w:val="4"/>
        <w:rPr>
          <w:b w:val="0"/>
          <w:bCs/>
          <w:i/>
          <w:iCs/>
        </w:rPr>
      </w:pPr>
      <w:r>
        <w:t xml:space="preserve">Questions </w:t>
      </w:r>
      <w:r>
        <w:rPr>
          <w:rFonts w:asciiTheme="minorHAnsi" w:hAnsiTheme="minorHAnsi" w:cstheme="minorHAnsi"/>
          <w:b w:val="0"/>
          <w:bCs/>
          <w:i/>
          <w:iCs/>
          <w:highlight w:val="lightGray"/>
        </w:rPr>
        <w:t>(= 3-5 open-ended short answer questions)</w:t>
      </w:r>
    </w:p>
    <w:p w14:paraId="2A24325F">
      <w:pPr>
        <w:pStyle w:val="24"/>
        <w:numPr>
          <w:ilvl w:val="0"/>
          <w:numId w:val="2"/>
        </w:numPr>
      </w:pPr>
      <w:r>
        <w:t>Question (e.g. “What is the most likely diagnosis?”)</w:t>
      </w:r>
    </w:p>
    <w:p w14:paraId="78F7CBC4">
      <w:pPr>
        <w:pStyle w:val="24"/>
        <w:numPr>
          <w:ilvl w:val="0"/>
          <w:numId w:val="2"/>
        </w:numPr>
      </w:pPr>
      <w:r>
        <w:t>Question (e.g. “What is the most likely etiology for this condition?”)</w:t>
      </w:r>
    </w:p>
    <w:p w14:paraId="65377D69">
      <w:pPr>
        <w:pStyle w:val="24"/>
        <w:numPr>
          <w:ilvl w:val="0"/>
          <w:numId w:val="2"/>
        </w:numPr>
      </w:pPr>
      <w:r>
        <w:t>Question (e.g. “What is the most important diagnosis to exclude?”)</w:t>
      </w:r>
    </w:p>
    <w:p w14:paraId="6D516B1F">
      <w:pPr>
        <w:pStyle w:val="24"/>
        <w:numPr>
          <w:ilvl w:val="0"/>
          <w:numId w:val="2"/>
        </w:numPr>
      </w:pPr>
      <w:r>
        <w:t>Question (e.g. “What else do you need to know?” or “Are there further examination you would like to undertake?)</w:t>
      </w:r>
    </w:p>
    <w:p w14:paraId="354B317B">
      <w:pPr>
        <w:pStyle w:val="24"/>
        <w:numPr>
          <w:ilvl w:val="0"/>
          <w:numId w:val="2"/>
        </w:numPr>
      </w:pPr>
      <w:r>
        <w:t>Question (e.g. “What is the best treatment plan (short / on-going management)”)</w:t>
      </w:r>
    </w:p>
    <w:p w14:paraId="2BF7B7DE">
      <w:pPr>
        <w:pStyle w:val="3"/>
      </w:pPr>
      <w:r>
        <w:t xml:space="preserve">Answers </w:t>
      </w:r>
      <w:r>
        <w:rPr>
          <w:color w:val="auto"/>
          <w:highlight w:val="lightGray"/>
        </w:rPr>
        <w:t>(~250-400 words)</w:t>
      </w:r>
    </w:p>
    <w:p w14:paraId="324BAD93">
      <w:pPr>
        <w:pStyle w:val="4"/>
      </w:pPr>
      <w:r>
        <w:t>Summary</w:t>
      </w:r>
    </w:p>
    <w:p w14:paraId="7E61CC46">
      <w:pPr>
        <w:rPr>
          <w:shd w:val="clear" w:color="auto" w:fill="FFFFFF"/>
        </w:rPr>
      </w:pPr>
      <w:r>
        <w:rPr>
          <w:shd w:val="clear" w:color="auto" w:fill="FFFFFF"/>
        </w:rPr>
        <w:t>Your text summarising the case starts here. Please refer to the example cases if you are unsure of what to include here.</w:t>
      </w:r>
    </w:p>
    <w:p w14:paraId="08E6A793">
      <w:pPr>
        <w:pStyle w:val="24"/>
        <w:numPr>
          <w:ilvl w:val="0"/>
          <w:numId w:val="3"/>
        </w:numPr>
      </w:pPr>
      <w:r>
        <w:rPr>
          <w:shd w:val="clear" w:color="auto" w:fill="FFFFFF"/>
        </w:rPr>
        <w:t>Bullet points of the key pieces of information from the case scenario above.</w:t>
      </w:r>
    </w:p>
    <w:p w14:paraId="13B7558C">
      <w:pPr>
        <w:pStyle w:val="24"/>
        <w:numPr>
          <w:ilvl w:val="0"/>
          <w:numId w:val="3"/>
        </w:numPr>
      </w:pPr>
      <w:r>
        <w:rPr>
          <w:shd w:val="clear" w:color="auto" w:fill="FFFFFF"/>
        </w:rPr>
        <w:t>…</w:t>
      </w:r>
    </w:p>
    <w:p w14:paraId="7B59969A">
      <w:pPr>
        <w:pStyle w:val="24"/>
        <w:numPr>
          <w:ilvl w:val="0"/>
          <w:numId w:val="3"/>
        </w:numPr>
      </w:pPr>
      <w:r>
        <w:rPr>
          <w:shd w:val="clear" w:color="auto" w:fill="FFFFFF"/>
        </w:rPr>
        <w:t>…</w:t>
      </w:r>
    </w:p>
    <w:p w14:paraId="06EE5901">
      <w:pPr>
        <w:pStyle w:val="4"/>
      </w:pPr>
      <w:r>
        <w:t>Answers</w:t>
      </w:r>
    </w:p>
    <w:p w14:paraId="2FDCE60C">
      <w:r>
        <w:rPr>
          <w:b/>
          <w:bCs/>
        </w:rPr>
        <w:t>1. Answer to Question 1:</w:t>
      </w:r>
    </w:p>
    <w:p w14:paraId="2F922BD6">
      <w:r>
        <w:rPr>
          <w:b/>
          <w:bCs/>
        </w:rPr>
        <w:t>2. Answer to Question 2:</w:t>
      </w:r>
    </w:p>
    <w:p w14:paraId="308EFEE0">
      <w:r>
        <w:rPr>
          <w:b/>
          <w:bCs/>
        </w:rPr>
        <w:t>3. Answer to Question 3:</w:t>
      </w:r>
    </w:p>
    <w:p w14:paraId="0CB38FDC">
      <w:r>
        <w:t>...</w:t>
      </w:r>
    </w:p>
    <w:p w14:paraId="71D884F0"/>
    <w:p w14:paraId="3C44E98C">
      <w:pPr>
        <w:pStyle w:val="4"/>
        <w:rPr>
          <w:highlight w:val="yellow"/>
        </w:rPr>
      </w:pPr>
      <w:r>
        <w:rPr>
          <w:highlight w:val="yellow"/>
        </w:rPr>
        <w:t>Analysis</w:t>
      </w:r>
    </w:p>
    <w:p w14:paraId="51CF1573">
      <w:pPr>
        <w:pStyle w:val="5"/>
        <w:rPr>
          <w:highlight w:val="yellow"/>
        </w:rPr>
      </w:pPr>
      <w:r>
        <w:rPr>
          <w:highlight w:val="yellow"/>
        </w:rPr>
        <w:t>Learning Objectives</w:t>
      </w:r>
    </w:p>
    <w:p w14:paraId="7066A052">
      <w:pPr>
        <w:pStyle w:val="24"/>
        <w:numPr>
          <w:ilvl w:val="0"/>
          <w:numId w:val="4"/>
        </w:numPr>
        <w:rPr>
          <w:highlight w:val="yellow"/>
        </w:rPr>
      </w:pPr>
      <w:r>
        <w:rPr>
          <w:highlight w:val="yellow"/>
        </w:rPr>
        <w:t>Enter here the first learning objective, starting with a verb (Bloom’s taxonomy)</w:t>
      </w:r>
    </w:p>
    <w:p w14:paraId="2C21546A">
      <w:pPr>
        <w:pStyle w:val="24"/>
        <w:numPr>
          <w:ilvl w:val="0"/>
          <w:numId w:val="4"/>
        </w:numPr>
        <w:rPr>
          <w:highlight w:val="yellow"/>
        </w:rPr>
      </w:pPr>
      <w:r>
        <w:rPr>
          <w:highlight w:val="yellow"/>
        </w:rPr>
        <w:t>Enter here the second learning objective, , starting with a verb (Bloom’s taxonomy)</w:t>
      </w:r>
    </w:p>
    <w:p w14:paraId="15B02C45">
      <w:pPr>
        <w:pStyle w:val="24"/>
        <w:numPr>
          <w:ilvl w:val="0"/>
          <w:numId w:val="4"/>
        </w:numPr>
        <w:rPr>
          <w:highlight w:val="yellow"/>
        </w:rPr>
      </w:pPr>
      <w:r>
        <w:rPr>
          <w:highlight w:val="yellow"/>
        </w:rPr>
        <w:t>Etc.</w:t>
      </w:r>
    </w:p>
    <w:p w14:paraId="223B536C">
      <w:bookmarkStart w:id="162" w:name="_GoBack"/>
    </w:p>
    <w:bookmarkEnd w:id="162"/>
    <w:p w14:paraId="168C6B41">
      <w:pPr>
        <w:pStyle w:val="5"/>
        <w:rPr>
          <w:highlight w:val="yellow"/>
        </w:rPr>
      </w:pPr>
      <w:r>
        <w:rPr>
          <w:highlight w:val="yellow"/>
        </w:rPr>
        <w:t>Considerations</w:t>
      </w:r>
    </w:p>
    <w:p w14:paraId="7CF7AED4">
      <w:r>
        <w:rPr>
          <w:highlight w:val="yellow"/>
        </w:rPr>
        <w:t>Your text here.</w:t>
      </w:r>
      <w:r>
        <w:t xml:space="preserve"> </w:t>
      </w:r>
    </w:p>
    <w:p w14:paraId="15EA1789">
      <w:pPr>
        <w:rPr>
          <w:rFonts w:asciiTheme="majorHAnsi" w:hAnsiTheme="majorHAnsi" w:eastAsiaTheme="majorEastAsia" w:cstheme="majorBidi"/>
          <w:b/>
          <w:color w:val="FFFFFF" w:themeColor="background1"/>
          <w:sz w:val="36"/>
          <w:szCs w:val="32"/>
          <w14:textFill>
            <w14:solidFill>
              <w14:schemeClr w14:val="bg1"/>
            </w14:solidFill>
          </w14:textFill>
        </w:rPr>
      </w:pPr>
    </w:p>
    <w:p w14:paraId="404C5C6E">
      <w:pPr>
        <w:pStyle w:val="2"/>
        <w:rPr>
          <w:color w:val="auto"/>
        </w:rPr>
      </w:pPr>
      <w:r>
        <w:t xml:space="preserve">Clinical Approach </w:t>
      </w:r>
      <w:r>
        <w:rPr>
          <w:color w:val="auto"/>
          <w:highlight w:val="lightGray"/>
        </w:rPr>
        <w:t>(</w:t>
      </w:r>
      <w:r>
        <w:rPr>
          <w:rFonts w:cstheme="majorHAnsi"/>
          <w:color w:val="auto"/>
          <w:highlight w:val="lightGray"/>
        </w:rPr>
        <w:t>~</w:t>
      </w:r>
      <w:r>
        <w:rPr>
          <w:color w:val="auto"/>
          <w:highlight w:val="lightGray"/>
        </w:rPr>
        <w:t>1500-2500 words)</w:t>
      </w:r>
    </w:p>
    <w:p w14:paraId="4791D818">
      <w:pPr>
        <w:pStyle w:val="3"/>
      </w:pPr>
      <w:r>
        <w:t>Definitions</w:t>
      </w:r>
    </w:p>
    <w:p w14:paraId="6D924AC7">
      <w:r>
        <w:rPr>
          <w:b/>
          <w:bCs/>
        </w:rPr>
        <w:t>TERM 1</w:t>
      </w:r>
      <w:r>
        <w:t xml:space="preserve">: Your text defining the term here. </w:t>
      </w:r>
    </w:p>
    <w:p w14:paraId="204BB818">
      <w:r>
        <w:rPr>
          <w:b/>
          <w:bCs/>
        </w:rPr>
        <w:t>TERM 2</w:t>
      </w:r>
      <w:r>
        <w:t xml:space="preserve">: Your text defining the term here. </w:t>
      </w:r>
    </w:p>
    <w:p w14:paraId="0F78CF1A">
      <w:r>
        <w:rPr>
          <w:b/>
          <w:bCs/>
        </w:rPr>
        <w:t>TERM 3</w:t>
      </w:r>
      <w:r>
        <w:t>: Your text defining the term here.</w:t>
      </w:r>
    </w:p>
    <w:p w14:paraId="13E237AE">
      <w:pPr>
        <w:rPr>
          <w:b/>
          <w:bCs/>
        </w:rPr>
      </w:pPr>
      <w:r>
        <w:rPr>
          <w:b/>
          <w:bCs/>
        </w:rPr>
        <w:t>Etc.</w:t>
      </w:r>
    </w:p>
    <w:p w14:paraId="5074BA59">
      <w:pPr>
        <w:rPr>
          <w:b/>
          <w:bCs/>
        </w:rPr>
      </w:pPr>
    </w:p>
    <w:p w14:paraId="6C9256D0">
      <w:pPr>
        <w:pStyle w:val="3"/>
      </w:pPr>
      <w:r>
        <w:t>Clinical Approach</w:t>
      </w:r>
    </w:p>
    <w:p w14:paraId="25A12B5F">
      <w:pPr>
        <w:contextualSpacing/>
        <w:rPr>
          <w:highlight w:val="lightGray"/>
        </w:rPr>
      </w:pPr>
      <w:r>
        <w:rPr>
          <w:highlight w:val="lightGray"/>
        </w:rPr>
        <w:t>Note: Content in this section should be organised into different subsections, see below some examples which may or may not be appropriate depending on the case topic.</w:t>
      </w:r>
    </w:p>
    <w:p w14:paraId="68EE3476">
      <w:pPr>
        <w:pStyle w:val="4"/>
      </w:pPr>
      <w:r>
        <w:t>Epidemiology</w:t>
      </w:r>
    </w:p>
    <w:p w14:paraId="155F7913">
      <w:r>
        <w:t>Your text here...</w:t>
      </w:r>
    </w:p>
    <w:p w14:paraId="0AB47817">
      <w:pPr>
        <w:pStyle w:val="4"/>
      </w:pPr>
      <w:r>
        <w:t>Pathophysiology</w:t>
      </w:r>
    </w:p>
    <w:p w14:paraId="486FC7F2">
      <w:r>
        <w:t>Your text here…</w:t>
      </w:r>
    </w:p>
    <w:p w14:paraId="03567499">
      <w:pPr>
        <w:pStyle w:val="4"/>
      </w:pPr>
      <w:r>
        <w:t>Clinical Presentation</w:t>
      </w:r>
    </w:p>
    <w:p w14:paraId="26C3B15A">
      <w:r>
        <w:t>Your text here…</w:t>
      </w:r>
    </w:p>
    <w:p w14:paraId="3C77A422">
      <w:pPr>
        <w:pStyle w:val="4"/>
      </w:pPr>
      <w:r>
        <w:t>Diagnosis</w:t>
      </w:r>
    </w:p>
    <w:p w14:paraId="54E08F68">
      <w:r>
        <w:t>Your text here…</w:t>
      </w:r>
    </w:p>
    <w:p w14:paraId="45EA6791">
      <w:pPr>
        <w:pStyle w:val="4"/>
      </w:pPr>
      <w:r>
        <w:t>Treatment</w:t>
      </w:r>
    </w:p>
    <w:p w14:paraId="4C93F6E6">
      <w:r>
        <w:t>Your text here…</w:t>
      </w:r>
    </w:p>
    <w:p w14:paraId="6373AB7F">
      <w:pPr>
        <w:pStyle w:val="4"/>
      </w:pPr>
      <w:r>
        <w:t>Emergency Management</w:t>
      </w:r>
    </w:p>
    <w:p w14:paraId="67870E16">
      <w:r>
        <w:t>Your text here…</w:t>
      </w:r>
    </w:p>
    <w:p w14:paraId="433451DC">
      <w:pPr>
        <w:pStyle w:val="4"/>
      </w:pPr>
      <w:r>
        <w:t>Prevention</w:t>
      </w:r>
    </w:p>
    <w:p w14:paraId="49354607">
      <w:r>
        <w:t>Your text here…</w:t>
      </w:r>
    </w:p>
    <w:p w14:paraId="1BCC63F8">
      <w:pPr>
        <w:pStyle w:val="4"/>
      </w:pPr>
      <w:r>
        <w:t>Rehabilitation and Prognosis</w:t>
      </w:r>
    </w:p>
    <w:p w14:paraId="0B23EA61">
      <w:r>
        <w:t>Your text here…</w:t>
      </w:r>
    </w:p>
    <w:p w14:paraId="7BE33113">
      <w:pPr>
        <w:pStyle w:val="4"/>
      </w:pPr>
      <w:r>
        <w:t>Etc.</w:t>
      </w:r>
    </w:p>
    <w:p w14:paraId="15439734"/>
    <w:p w14:paraId="3C8E2B2D"/>
    <w:p w14:paraId="61AD331D">
      <w:pPr>
        <w:pStyle w:val="2"/>
      </w:pPr>
      <w:r>
        <w:t xml:space="preserve">Clinical Pearls </w:t>
      </w:r>
      <w:r>
        <w:rPr>
          <w:color w:val="auto"/>
          <w:highlight w:val="lightGray"/>
        </w:rPr>
        <w:t>(~100-200 words)</w:t>
      </w:r>
    </w:p>
    <w:p w14:paraId="3BBFB41F">
      <w:pPr>
        <w:pStyle w:val="24"/>
        <w:numPr>
          <w:ilvl w:val="0"/>
          <w:numId w:val="5"/>
        </w:numPr>
      </w:pPr>
      <w:r>
        <w:t xml:space="preserve">Relevant clinical observations should be listed here as </w:t>
      </w:r>
      <w:r>
        <w:rPr>
          <w:u w:val="single"/>
        </w:rPr>
        <w:t>bullet points</w:t>
      </w:r>
      <w:r>
        <w:t>.</w:t>
      </w:r>
    </w:p>
    <w:p w14:paraId="446DED5E">
      <w:pPr>
        <w:pStyle w:val="24"/>
        <w:numPr>
          <w:ilvl w:val="0"/>
          <w:numId w:val="5"/>
        </w:numPr>
      </w:pPr>
      <w:r>
        <w:t>…</w:t>
      </w:r>
    </w:p>
    <w:p w14:paraId="4837FC66">
      <w:pPr>
        <w:pStyle w:val="24"/>
        <w:numPr>
          <w:ilvl w:val="0"/>
          <w:numId w:val="5"/>
        </w:numPr>
      </w:pPr>
      <w:r>
        <w:t>…</w:t>
      </w:r>
    </w:p>
    <w:p w14:paraId="54E87401">
      <w:pPr>
        <w:rPr>
          <w:rFonts w:asciiTheme="majorHAnsi" w:hAnsiTheme="majorHAnsi" w:eastAsiaTheme="majorEastAsia" w:cstheme="majorBidi"/>
          <w:b/>
          <w:color w:val="FFFFFF" w:themeColor="background1"/>
          <w:sz w:val="36"/>
          <w:szCs w:val="32"/>
          <w14:textFill>
            <w14:solidFill>
              <w14:schemeClr w14:val="bg1"/>
            </w14:solidFill>
          </w14:textFill>
        </w:rPr>
      </w:pPr>
    </w:p>
    <w:p w14:paraId="29D81EFB">
      <w:pPr>
        <w:pStyle w:val="2"/>
      </w:pPr>
      <w:r>
        <w:t xml:space="preserve">Comprehension Questions </w:t>
      </w:r>
      <w:r>
        <w:rPr>
          <w:color w:val="auto"/>
          <w:highlight w:val="lightGray"/>
        </w:rPr>
        <w:t>(3-4, ~500-800 words in total)</w:t>
      </w:r>
    </w:p>
    <w:p w14:paraId="677C3A3D">
      <w:r>
        <w:rPr>
          <w:b/>
          <w:bCs/>
        </w:rPr>
        <w:t>Question 1.</w:t>
      </w:r>
      <w:r>
        <w:t xml:space="preserve"> Write your scenario (if applicable) and question here.</w:t>
      </w:r>
    </w:p>
    <w:p w14:paraId="2EB0D30E">
      <w:r>
        <w:t>a) First answer option</w:t>
      </w:r>
    </w:p>
    <w:p w14:paraId="509D950E">
      <w:r>
        <w:t>b) Second answer option</w:t>
      </w:r>
    </w:p>
    <w:p w14:paraId="486C132D">
      <w:r>
        <w:t>c) Third answer option</w:t>
      </w:r>
    </w:p>
    <w:p w14:paraId="75287E0F">
      <w:r>
        <w:t>d) Fourth answer option</w:t>
      </w:r>
    </w:p>
    <w:p w14:paraId="57F3B984">
      <w:pPr>
        <w:rPr>
          <w:i/>
          <w:iCs/>
          <w:color w:val="FF0000"/>
        </w:rPr>
      </w:pPr>
      <w:r>
        <w:rPr>
          <w:b/>
          <w:bCs/>
        </w:rPr>
        <w:t>Answer:</w:t>
      </w:r>
      <w:r>
        <w:t xml:space="preserve"> The correct answer is </w:t>
      </w:r>
      <w:r>
        <w:rPr>
          <w:b/>
          <w:bCs/>
        </w:rPr>
        <w:t xml:space="preserve">A/B/C/D </w:t>
      </w:r>
      <w:r>
        <w:rPr>
          <w:i/>
          <w:iCs/>
          <w:highlight w:val="lightGray"/>
        </w:rPr>
        <w:t>Note to authors: delete as appropriate</w:t>
      </w:r>
    </w:p>
    <w:p w14:paraId="3C20E9D3">
      <w:r>
        <w:rPr>
          <w:b/>
          <w:bCs/>
        </w:rPr>
        <w:t>Explanation:</w:t>
      </w:r>
      <w:r>
        <w:t xml:space="preserve"> Write here the explanation of the correct answer.</w:t>
      </w:r>
    </w:p>
    <w:p w14:paraId="0ED7B78F"/>
    <w:p w14:paraId="65728EB5">
      <w:r>
        <w:rPr>
          <w:b/>
          <w:bCs/>
        </w:rPr>
        <w:t>Question 2.</w:t>
      </w:r>
      <w:r>
        <w:t xml:space="preserve"> Write your scenario (if applicable) and question here.</w:t>
      </w:r>
    </w:p>
    <w:p w14:paraId="5E9559AF">
      <w:r>
        <w:t>a) First answer option</w:t>
      </w:r>
    </w:p>
    <w:p w14:paraId="229E7407">
      <w:r>
        <w:t>b) Second answer option</w:t>
      </w:r>
    </w:p>
    <w:p w14:paraId="33D60823">
      <w:r>
        <w:t>c) Third answer option</w:t>
      </w:r>
    </w:p>
    <w:p w14:paraId="3502E727">
      <w:r>
        <w:t>d) Fourth answer option</w:t>
      </w:r>
    </w:p>
    <w:p w14:paraId="0BDFC330">
      <w:pPr>
        <w:rPr>
          <w:i/>
          <w:iCs/>
          <w:color w:val="FF0000"/>
        </w:rPr>
      </w:pPr>
      <w:r>
        <w:rPr>
          <w:b/>
          <w:bCs/>
        </w:rPr>
        <w:t>Answer:</w:t>
      </w:r>
      <w:r>
        <w:t xml:space="preserve"> The correct answer is </w:t>
      </w:r>
      <w:r>
        <w:rPr>
          <w:b/>
          <w:bCs/>
        </w:rPr>
        <w:t xml:space="preserve">A/B/C/D </w:t>
      </w:r>
      <w:r>
        <w:rPr>
          <w:i/>
          <w:iCs/>
          <w:highlight w:val="lightGray"/>
        </w:rPr>
        <w:t>Note to authors: delete as appropriate</w:t>
      </w:r>
    </w:p>
    <w:p w14:paraId="224FAE81">
      <w:r>
        <w:rPr>
          <w:b/>
          <w:bCs/>
        </w:rPr>
        <w:t>Explanation:</w:t>
      </w:r>
      <w:r>
        <w:t xml:space="preserve"> Write here the explanation of the correct answer.</w:t>
      </w:r>
    </w:p>
    <w:p w14:paraId="65E648D4"/>
    <w:p w14:paraId="4E84CF2C">
      <w:r>
        <w:rPr>
          <w:b/>
          <w:bCs/>
        </w:rPr>
        <w:t xml:space="preserve">Question 3. </w:t>
      </w:r>
      <w:r>
        <w:t>Write your scenario (if applicable) and question here.</w:t>
      </w:r>
    </w:p>
    <w:p w14:paraId="39A935CA">
      <w:r>
        <w:t>a) First answer option</w:t>
      </w:r>
    </w:p>
    <w:p w14:paraId="2B814912">
      <w:r>
        <w:t>b) Second answer option</w:t>
      </w:r>
    </w:p>
    <w:p w14:paraId="19DD0458">
      <w:r>
        <w:t>c) Third answer option</w:t>
      </w:r>
    </w:p>
    <w:p w14:paraId="4EFC5E6A">
      <w:r>
        <w:t>d) Fourth answer option</w:t>
      </w:r>
    </w:p>
    <w:p w14:paraId="3884C43D">
      <w:pPr>
        <w:rPr>
          <w:i/>
          <w:iCs/>
          <w:color w:val="FF0000"/>
        </w:rPr>
      </w:pPr>
      <w:r>
        <w:rPr>
          <w:b/>
          <w:bCs/>
        </w:rPr>
        <w:t>Answer:</w:t>
      </w:r>
      <w:r>
        <w:t xml:space="preserve"> The correct answer is </w:t>
      </w:r>
      <w:r>
        <w:rPr>
          <w:b/>
          <w:bCs/>
        </w:rPr>
        <w:t xml:space="preserve">A/B/C/D </w:t>
      </w:r>
      <w:r>
        <w:rPr>
          <w:i/>
          <w:iCs/>
          <w:highlight w:val="lightGray"/>
        </w:rPr>
        <w:t>Note to authors: delete as appropriate</w:t>
      </w:r>
    </w:p>
    <w:p w14:paraId="58691EAB">
      <w:r>
        <w:rPr>
          <w:b/>
          <w:bCs/>
        </w:rPr>
        <w:t>Explanation:</w:t>
      </w:r>
      <w:r>
        <w:t xml:space="preserve"> Write here the explanation of the correct answer.</w:t>
      </w:r>
    </w:p>
    <w:p w14:paraId="343237C6"/>
    <w:p w14:paraId="5A0A82B0">
      <w:r>
        <w:rPr>
          <w:b/>
          <w:bCs/>
        </w:rPr>
        <w:t>Question 4.</w:t>
      </w:r>
      <w:r>
        <w:t xml:space="preserve"> Write your scenario (if applicable) and question here.</w:t>
      </w:r>
    </w:p>
    <w:p w14:paraId="30068F69">
      <w:r>
        <w:t>a) First answer option</w:t>
      </w:r>
    </w:p>
    <w:p w14:paraId="06B88371">
      <w:r>
        <w:t>b) Second answer option</w:t>
      </w:r>
    </w:p>
    <w:p w14:paraId="6F9746C9">
      <w:r>
        <w:t>c) Third answer option</w:t>
      </w:r>
    </w:p>
    <w:p w14:paraId="19838AD4">
      <w:r>
        <w:t>d) Fourth answer option</w:t>
      </w:r>
    </w:p>
    <w:p w14:paraId="710120E5">
      <w:pPr>
        <w:rPr>
          <w:i/>
          <w:iCs/>
          <w:color w:val="FF0000"/>
        </w:rPr>
      </w:pPr>
      <w:r>
        <w:rPr>
          <w:b/>
          <w:bCs/>
        </w:rPr>
        <w:t>Answer:</w:t>
      </w:r>
      <w:r>
        <w:t xml:space="preserve"> The correct answer is </w:t>
      </w:r>
      <w:r>
        <w:rPr>
          <w:b/>
          <w:bCs/>
        </w:rPr>
        <w:t xml:space="preserve">A/B/C/D </w:t>
      </w:r>
      <w:r>
        <w:rPr>
          <w:i/>
          <w:iCs/>
          <w:highlight w:val="lightGray"/>
        </w:rPr>
        <w:t>Note to authors: delete as appropriate</w:t>
      </w:r>
    </w:p>
    <w:p w14:paraId="426AB03A">
      <w:r>
        <w:rPr>
          <w:b/>
          <w:bCs/>
        </w:rPr>
        <w:t>Explanation:</w:t>
      </w:r>
      <w:r>
        <w:t xml:space="preserve"> Write here the explanation of the correct answer.</w:t>
      </w:r>
    </w:p>
    <w:p w14:paraId="6BFB8C6D"/>
    <w:p w14:paraId="6F9FA3ED"/>
    <w:p w14:paraId="47B2AD28">
      <w:pPr>
        <w:pStyle w:val="2"/>
      </w:pPr>
      <w:r>
        <w:t>References</w:t>
      </w:r>
    </w:p>
    <w:p w14:paraId="68D7247C">
      <w:pPr>
        <w:rPr>
          <w:i/>
          <w:iCs/>
        </w:rPr>
      </w:pPr>
      <w:r>
        <mc:AlternateContent>
          <mc:Choice Requires="wps">
            <w:drawing>
              <wp:inline distT="0" distB="0" distL="0" distR="0">
                <wp:extent cx="5731510" cy="2276475"/>
                <wp:effectExtent l="38100" t="38100" r="40640" b="47625"/>
                <wp:docPr id="217" name="Text Box 217"/>
                <wp:cNvGraphicFramePr/>
                <a:graphic xmlns:a="http://schemas.openxmlformats.org/drawingml/2006/main">
                  <a:graphicData uri="http://schemas.microsoft.com/office/word/2010/wordprocessingShape">
                    <wps:wsp>
                      <wps:cNvSpPr txBox="1">
                        <a:spLocks noChangeArrowheads="1"/>
                      </wps:cNvSpPr>
                      <wps:spPr bwMode="auto">
                        <a:xfrm>
                          <a:off x="0" y="0"/>
                          <a:ext cx="5731510" cy="2276475"/>
                        </a:xfrm>
                        <a:prstGeom prst="rect">
                          <a:avLst/>
                        </a:prstGeom>
                        <a:solidFill>
                          <a:schemeClr val="bg1"/>
                        </a:solidFill>
                        <a:ln w="76200">
                          <a:solidFill>
                            <a:srgbClr val="FF0000"/>
                          </a:solidFill>
                          <a:miter lim="800000"/>
                        </a:ln>
                      </wps:spPr>
                      <wps:txbx>
                        <w:txbxContent>
                          <w:p w14:paraId="1840698B">
                            <w:pPr>
                              <w:shd w:val="clear" w:color="auto" w:fill="FFFFFF" w:themeFill="background1"/>
                              <w:spacing w:after="0"/>
                              <w:rPr>
                                <w:b/>
                                <w:bCs/>
                                <w:shd w:val="clear" w:color="auto" w:fill="FFFFFF" w:themeFill="background1"/>
                              </w:rPr>
                            </w:pPr>
                            <w:r>
                              <w:rPr>
                                <w:b/>
                                <w:bCs/>
                                <w:shd w:val="clear" w:color="auto" w:fill="FFFFFF" w:themeFill="background1"/>
                              </w:rPr>
                              <w:t>NOTE</w:t>
                            </w:r>
                          </w:p>
                          <w:p w14:paraId="150DB2AC">
                            <w:pPr>
                              <w:pStyle w:val="24"/>
                              <w:numPr>
                                <w:ilvl w:val="0"/>
                                <w:numId w:val="6"/>
                              </w:numPr>
                              <w:shd w:val="clear" w:color="auto" w:fill="FFFFFF" w:themeFill="background1"/>
                              <w:spacing w:after="0"/>
                              <w:ind w:left="284" w:hanging="284"/>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color w:val="000000" w:themeColor="text1"/>
                                <w:shd w:val="clear" w:color="auto" w:fill="FFFFFF" w:themeFill="background1"/>
                                <w14:textFill>
                                  <w14:solidFill>
                                    <w14:schemeClr w14:val="tx1"/>
                                  </w14:solidFill>
                                </w14:textFill>
                              </w:rPr>
                              <w:t xml:space="preserve">Distinguish between </w:t>
                            </w:r>
                            <w:r>
                              <w:rPr>
                                <w:rFonts w:eastAsia="Times New Roman" w:cstheme="minorHAnsi"/>
                                <w:b/>
                                <w:bCs/>
                                <w:color w:val="000000" w:themeColor="text1"/>
                                <w:shd w:val="clear" w:color="auto" w:fill="FFFFFF" w:themeFill="background1"/>
                                <w14:textFill>
                                  <w14:solidFill>
                                    <w14:schemeClr w14:val="tx1"/>
                                  </w14:solidFill>
                                </w14:textFill>
                              </w:rPr>
                              <w:t xml:space="preserve">Works Cited referenced </w:t>
                            </w:r>
                            <w:r>
                              <w:rPr>
                                <w:rFonts w:eastAsia="Times New Roman" w:cstheme="minorHAnsi"/>
                                <w:color w:val="000000" w:themeColor="text1"/>
                                <w:shd w:val="clear" w:color="auto" w:fill="FFFFFF" w:themeFill="background1"/>
                                <w14:textFill>
                                  <w14:solidFill>
                                    <w14:schemeClr w14:val="tx1"/>
                                  </w14:solidFill>
                                </w14:textFill>
                              </w:rPr>
                              <w:t xml:space="preserve">in the above sections and </w:t>
                            </w:r>
                            <w:r>
                              <w:rPr>
                                <w:rFonts w:eastAsia="Times New Roman" w:cstheme="minorHAnsi"/>
                                <w:b/>
                                <w:bCs/>
                                <w:color w:val="000000" w:themeColor="text1"/>
                                <w:shd w:val="clear" w:color="auto" w:fill="FFFFFF" w:themeFill="background1"/>
                                <w14:textFill>
                                  <w14:solidFill>
                                    <w14:schemeClr w14:val="tx1"/>
                                  </w14:solidFill>
                                </w14:textFill>
                              </w:rPr>
                              <w:t>Further Reading</w:t>
                            </w:r>
                            <w:r>
                              <w:rPr>
                                <w:rFonts w:eastAsia="Times New Roman" w:cstheme="minorHAnsi"/>
                                <w:color w:val="000000" w:themeColor="text1"/>
                                <w:shd w:val="clear" w:color="auto" w:fill="FFFFFF" w:themeFill="background1"/>
                                <w14:textFill>
                                  <w14:solidFill>
                                    <w14:schemeClr w14:val="tx1"/>
                                  </w14:solidFill>
                                </w14:textFill>
                              </w:rPr>
                              <w:t xml:space="preserve"> </w:t>
                            </w:r>
                            <w:r>
                              <w:rPr>
                                <w:rFonts w:eastAsia="Times New Roman" w:cstheme="minorHAnsi"/>
                                <w:b/>
                                <w:bCs/>
                                <w:color w:val="000000" w:themeColor="text1"/>
                                <w:shd w:val="clear" w:color="auto" w:fill="FFFFFF" w:themeFill="background1"/>
                                <w14:textFill>
                                  <w14:solidFill>
                                    <w14:schemeClr w14:val="tx1"/>
                                  </w14:solidFill>
                                </w14:textFill>
                              </w:rPr>
                              <w:t>suggestions</w:t>
                            </w:r>
                            <w:r>
                              <w:rPr>
                                <w:rFonts w:eastAsia="Times New Roman" w:cstheme="minorHAnsi"/>
                                <w:color w:val="000000" w:themeColor="text1"/>
                                <w:shd w:val="clear" w:color="auto" w:fill="FFFFFF" w:themeFill="background1"/>
                                <w14:textFill>
                                  <w14:solidFill>
                                    <w14:schemeClr w14:val="tx1"/>
                                  </w14:solidFill>
                                </w14:textFill>
                              </w:rPr>
                              <w:t>.</w:t>
                            </w:r>
                          </w:p>
                          <w:p w14:paraId="617007E2">
                            <w:pPr>
                              <w:pStyle w:val="24"/>
                              <w:numPr>
                                <w:ilvl w:val="0"/>
                                <w:numId w:val="6"/>
                              </w:numPr>
                              <w:shd w:val="clear" w:color="auto" w:fill="FFFFFF" w:themeFill="background1"/>
                              <w:spacing w:after="0"/>
                              <w:ind w:left="284" w:hanging="284"/>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color w:val="000000" w:themeColor="text1"/>
                                <w:shd w:val="clear" w:color="auto" w:fill="FFFFFF" w:themeFill="background1"/>
                                <w14:textFill>
                                  <w14:solidFill>
                                    <w14:schemeClr w14:val="tx1"/>
                                  </w14:solidFill>
                                </w14:textFill>
                              </w:rPr>
                              <w:t xml:space="preserve">List the references in </w:t>
                            </w:r>
                            <w:r>
                              <w:rPr>
                                <w:rFonts w:eastAsia="Times New Roman" w:cstheme="minorHAnsi"/>
                                <w:b/>
                                <w:bCs/>
                                <w:color w:val="000000" w:themeColor="text1"/>
                                <w:shd w:val="clear" w:color="auto" w:fill="FFFFFF" w:themeFill="background1"/>
                                <w14:textFill>
                                  <w14:solidFill>
                                    <w14:schemeClr w14:val="tx1"/>
                                  </w14:solidFill>
                                </w14:textFill>
                              </w:rPr>
                              <w:t>alphabetical order</w:t>
                            </w:r>
                            <w:r>
                              <w:rPr>
                                <w:rFonts w:eastAsia="Times New Roman" w:cstheme="minorHAnsi"/>
                                <w:color w:val="000000" w:themeColor="text1"/>
                                <w:shd w:val="clear" w:color="auto" w:fill="FFFFFF" w:themeFill="background1"/>
                                <w14:textFill>
                                  <w14:solidFill>
                                    <w14:schemeClr w14:val="tx1"/>
                                  </w14:solidFill>
                                </w14:textFill>
                              </w:rPr>
                              <w:t xml:space="preserve"> and format using the </w:t>
                            </w:r>
                            <w:r>
                              <w:rPr>
                                <w:rFonts w:eastAsia="Times New Roman" w:cstheme="minorHAnsi"/>
                                <w:b/>
                                <w:bCs/>
                                <w:color w:val="000000" w:themeColor="text1"/>
                                <w:shd w:val="clear" w:color="auto" w:fill="FFFFFF" w:themeFill="background1"/>
                                <w14:textFill>
                                  <w14:solidFill>
                                    <w14:schemeClr w14:val="tx1"/>
                                  </w14:solidFill>
                                </w14:textFill>
                              </w:rPr>
                              <w:t>AMA Citation Style</w:t>
                            </w:r>
                            <w:r>
                              <w:rPr>
                                <w:rFonts w:eastAsia="Times New Roman" w:cstheme="minorHAnsi"/>
                                <w:color w:val="000000" w:themeColor="text1"/>
                                <w:shd w:val="clear" w:color="auto" w:fill="FFFFFF" w:themeFill="background1"/>
                                <w14:textFill>
                                  <w14:solidFill>
                                    <w14:schemeClr w14:val="tx1"/>
                                  </w14:solidFill>
                                </w14:textFill>
                              </w:rPr>
                              <w:t>.</w:t>
                            </w:r>
                          </w:p>
                          <w:p w14:paraId="21EB56B9">
                            <w:pPr>
                              <w:pStyle w:val="24"/>
                              <w:numPr>
                                <w:ilvl w:val="0"/>
                                <w:numId w:val="6"/>
                              </w:numPr>
                              <w:shd w:val="clear" w:color="auto" w:fill="FFFFFF" w:themeFill="background1"/>
                              <w:spacing w:after="0"/>
                              <w:ind w:left="284" w:hanging="284"/>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color w:val="000000" w:themeColor="text1"/>
                                <w:shd w:val="clear" w:color="auto" w:fill="FFFFFF" w:themeFill="background1"/>
                                <w14:textFill>
                                  <w14:solidFill>
                                    <w14:schemeClr w14:val="tx1"/>
                                  </w14:solidFill>
                                </w14:textFill>
                              </w:rPr>
                              <w:t xml:space="preserve">Note that </w:t>
                            </w:r>
                            <w:r>
                              <w:rPr>
                                <w:rFonts w:eastAsia="Times New Roman" w:cstheme="minorHAnsi"/>
                                <w:b/>
                                <w:bCs/>
                                <w:color w:val="000000" w:themeColor="text1"/>
                                <w:shd w:val="clear" w:color="auto" w:fill="FFFFFF" w:themeFill="background1"/>
                                <w14:textFill>
                                  <w14:solidFill>
                                    <w14:schemeClr w14:val="tx1"/>
                                  </w14:solidFill>
                                </w14:textFill>
                              </w:rPr>
                              <w:t>references should be listed by author name</w:t>
                            </w:r>
                            <w:r>
                              <w:rPr>
                                <w:rFonts w:eastAsia="Times New Roman" w:cstheme="minorHAnsi"/>
                                <w:color w:val="000000" w:themeColor="text1"/>
                                <w:shd w:val="clear" w:color="auto" w:fill="FFFFFF" w:themeFill="background1"/>
                                <w14:textFill>
                                  <w14:solidFill>
                                    <w14:schemeClr w14:val="tx1"/>
                                  </w14:solidFill>
                                </w14:textFill>
                              </w:rPr>
                              <w:t xml:space="preserve"> and </w:t>
                            </w:r>
                            <w:r>
                              <w:rPr>
                                <w:rFonts w:eastAsia="Times New Roman" w:cstheme="minorHAnsi"/>
                                <w:color w:val="000000" w:themeColor="text1"/>
                                <w:u w:val="single"/>
                                <w:shd w:val="clear" w:color="auto" w:fill="FFFFFF" w:themeFill="background1"/>
                                <w14:textFill>
                                  <w14:solidFill>
                                    <w14:schemeClr w14:val="tx1"/>
                                  </w14:solidFill>
                                </w14:textFill>
                              </w:rPr>
                              <w:t>not numbered</w:t>
                            </w:r>
                            <w:r>
                              <w:rPr>
                                <w:rFonts w:eastAsia="Times New Roman" w:cstheme="minorHAnsi"/>
                                <w:color w:val="000000" w:themeColor="text1"/>
                                <w:shd w:val="clear" w:color="auto" w:fill="FFFFFF" w:themeFill="background1"/>
                                <w14:textFill>
                                  <w14:solidFill>
                                    <w14:schemeClr w14:val="tx1"/>
                                  </w14:solidFill>
                                </w14:textFill>
                              </w:rPr>
                              <w:t>.</w:t>
                            </w:r>
                          </w:p>
                          <w:p w14:paraId="5C6AC714">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p>
                          <w:p w14:paraId="07643C3C">
                            <w:pPr>
                              <w:shd w:val="clear" w:color="auto" w:fill="FFFFFF" w:themeFill="background1"/>
                              <w:spacing w:after="0"/>
                              <w:rPr>
                                <w:rFonts w:eastAsia="Times New Roman" w:cstheme="minorHAnsi"/>
                                <w:i/>
                                <w:iCs/>
                                <w:color w:val="000000" w:themeColor="text1"/>
                                <w:shd w:val="clear" w:color="auto" w:fill="FFFFFF" w:themeFill="background1"/>
                                <w14:textFill>
                                  <w14:solidFill>
                                    <w14:schemeClr w14:val="tx1"/>
                                  </w14:solidFill>
                                </w14:textFill>
                              </w:rPr>
                            </w:pPr>
                            <w:r>
                              <w:rPr>
                                <w:rFonts w:eastAsia="Times New Roman" w:cstheme="minorHAnsi"/>
                                <w:i/>
                                <w:iCs/>
                                <w:color w:val="000000" w:themeColor="text1"/>
                                <w:shd w:val="clear" w:color="auto" w:fill="FFFFFF" w:themeFill="background1"/>
                                <w14:textFill>
                                  <w14:solidFill>
                                    <w14:schemeClr w14:val="tx1"/>
                                  </w14:solidFill>
                                </w14:textFill>
                              </w:rPr>
                              <w:t>For example:</w:t>
                            </w:r>
                          </w:p>
                          <w:p w14:paraId="2B6787D7">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color w:val="000000" w:themeColor="text1"/>
                                <w:shd w:val="clear" w:color="auto" w:fill="FFFFFF" w:themeFill="background1"/>
                                <w14:textFill>
                                  <w14:solidFill>
                                    <w14:schemeClr w14:val="tx1"/>
                                  </w14:solidFill>
                                </w14:textFill>
                              </w:rPr>
                              <w:t xml:space="preserve">Khoriati A, Antonios T, Gulihar A, et al. Single vs double row repair in rotator cuff tears – A review and analysis of current evidence. </w:t>
                            </w:r>
                            <w:r>
                              <w:rPr>
                                <w:rFonts w:eastAsia="Times New Roman" w:cstheme="minorHAnsi"/>
                                <w:i/>
                                <w:iCs/>
                                <w:color w:val="000000" w:themeColor="text1"/>
                                <w:shd w:val="clear" w:color="auto" w:fill="FFFFFF" w:themeFill="background1"/>
                                <w14:textFill>
                                  <w14:solidFill>
                                    <w14:schemeClr w14:val="tx1"/>
                                  </w14:solidFill>
                                </w14:textFill>
                              </w:rPr>
                              <w:t>J Clin Orthop Trauma</w:t>
                            </w:r>
                            <w:r>
                              <w:rPr>
                                <w:rFonts w:eastAsia="Times New Roman" w:cstheme="minorHAnsi"/>
                                <w:color w:val="000000" w:themeColor="text1"/>
                                <w:shd w:val="clear" w:color="auto" w:fill="FFFFFF" w:themeFill="background1"/>
                                <w14:textFill>
                                  <w14:solidFill>
                                    <w14:schemeClr w14:val="tx1"/>
                                  </w14:solidFill>
                                </w14:textFill>
                              </w:rPr>
                              <w:t>. 2019;10(2):236-240. doi:10.1016/j.jcot.2019.01.027.</w:t>
                            </w:r>
                          </w:p>
                          <w:p w14:paraId="3DD305DE">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p>
                          <w:p w14:paraId="6394E96B">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color w:val="000000" w:themeColor="text1"/>
                                <w:shd w:val="clear" w:color="auto" w:fill="FFFFFF" w:themeFill="background1"/>
                                <w14:textFill>
                                  <w14:solidFill>
                                    <w14:schemeClr w14:val="tx1"/>
                                  </w14:solidFill>
                                </w14:textFill>
                              </w:rPr>
                              <w:t xml:space="preserve">Loscalzo J, Fauci A, Kasper D, et al., eds. </w:t>
                            </w:r>
                            <w:r>
                              <w:rPr>
                                <w:rFonts w:eastAsia="Times New Roman" w:cstheme="minorHAnsi"/>
                                <w:i/>
                                <w:iCs/>
                                <w:color w:val="000000" w:themeColor="text1"/>
                                <w:shd w:val="clear" w:color="auto" w:fill="FFFFFF" w:themeFill="background1"/>
                                <w14:textFill>
                                  <w14:solidFill>
                                    <w14:schemeClr w14:val="tx1"/>
                                  </w14:solidFill>
                                </w14:textFill>
                              </w:rPr>
                              <w:t>Harrison's Principles of Internal Medicine</w:t>
                            </w:r>
                            <w:r>
                              <w:rPr>
                                <w:rFonts w:eastAsia="Times New Roman" w:cstheme="minorHAnsi"/>
                                <w:color w:val="000000" w:themeColor="text1"/>
                                <w:shd w:val="clear" w:color="auto" w:fill="FFFFFF" w:themeFill="background1"/>
                                <w14:textFill>
                                  <w14:solidFill>
                                    <w14:schemeClr w14:val="tx1"/>
                                  </w14:solidFill>
                                </w14:textFill>
                              </w:rPr>
                              <w:t>. 21st ed. New York: McGraw Hill; 2022. https://accessmedicine.mhmedical.com/book.aspx?bookID=3095. Accessed July 7, 2023.</w:t>
                            </w:r>
                          </w:p>
                          <w:p w14:paraId="62CB8A8E">
                            <w:pPr>
                              <w:shd w:val="clear" w:color="auto" w:fill="FFFFFF" w:themeFill="background1"/>
                              <w:spacing w:after="0"/>
                              <w:jc w:val="center"/>
                              <w:rPr>
                                <w:rFonts w:eastAsia="Times New Roman" w:cstheme="minorHAnsi"/>
                                <w:color w:val="000000" w:themeColor="text1"/>
                                <w:shd w:val="clear" w:color="auto" w:fill="FFFFFF" w:themeFill="background1"/>
                                <w14:textFill>
                                  <w14:solidFill>
                                    <w14:schemeClr w14:val="tx1"/>
                                  </w14:solidFill>
                                </w14:textFill>
                              </w:rPr>
                            </w:pPr>
                          </w:p>
                          <w:p w14:paraId="358F5DE0">
                            <w:pPr>
                              <w:shd w:val="clear" w:color="auto" w:fill="FFFFFF" w:themeFill="background1"/>
                              <w:spacing w:after="0"/>
                              <w:jc w:val="center"/>
                              <w:rPr>
                                <w:rFonts w:eastAsia="Times New Roman" w:cstheme="minorHAnsi"/>
                                <w:color w:val="000000" w:themeColor="text1"/>
                                <w:shd w:val="clear" w:color="auto" w:fill="FFFFFF" w:themeFill="background1"/>
                                <w14:textFill>
                                  <w14:solidFill>
                                    <w14:schemeClr w14:val="tx1"/>
                                  </w14:solidFill>
                                </w14:textFill>
                              </w:rPr>
                            </w:pPr>
                          </w:p>
                          <w:p w14:paraId="5811309E">
                            <w:pPr>
                              <w:shd w:val="clear" w:color="auto" w:fill="FFFFFF" w:themeFill="background1"/>
                              <w:spacing w:after="0"/>
                              <w:jc w:val="center"/>
                              <w:rPr>
                                <w:rFonts w:eastAsia="Times New Roman" w:cstheme="minorHAnsi"/>
                                <w:color w:val="000000" w:themeColor="text1"/>
                                <w:shd w:val="clear" w:color="auto" w:fill="FFFFFF" w:themeFill="background1"/>
                                <w14:textFill>
                                  <w14:solidFill>
                                    <w14:schemeClr w14:val="tx1"/>
                                  </w14:solidFill>
                                </w14:textFill>
                              </w:rPr>
                            </w:pPr>
                          </w:p>
                          <w:p w14:paraId="2682F9DD">
                            <w:pPr>
                              <w:shd w:val="clear" w:color="auto" w:fill="FFFFFF" w:themeFill="background1"/>
                              <w:spacing w:after="0"/>
                              <w:jc w:val="center"/>
                              <w:rPr>
                                <w:rFonts w:eastAsia="Times New Roman" w:cstheme="minorHAnsi"/>
                                <w:color w:val="000000" w:themeColor="text1"/>
                                <w:shd w:val="clear" w:color="auto" w:fill="FFFFFF" w:themeFill="background1"/>
                                <w14:textFill>
                                  <w14:solidFill>
                                    <w14:schemeClr w14:val="tx1"/>
                                  </w14:solidFill>
                                </w14:textFill>
                              </w:rPr>
                            </w:pPr>
                          </w:p>
                          <w:p w14:paraId="09B84C4F">
                            <w:pPr>
                              <w:shd w:val="clear" w:color="auto" w:fill="FFFFFF" w:themeFill="background1"/>
                              <w:spacing w:after="0"/>
                              <w:jc w:val="center"/>
                              <w:rPr>
                                <w:rFonts w:eastAsia="Times New Roman" w:cstheme="minorHAnsi"/>
                                <w:color w:val="000000" w:themeColor="text1"/>
                                <w:shd w:val="clear" w:color="auto" w:fill="FFFFFF" w:themeFill="background1"/>
                                <w14:textFill>
                                  <w14:solidFill>
                                    <w14:schemeClr w14:val="tx1"/>
                                  </w14:solidFill>
                                </w14:textFill>
                              </w:rPr>
                            </w:pPr>
                          </w:p>
                          <w:p w14:paraId="7E542EF0">
                            <w:pPr>
                              <w:shd w:val="clear" w:color="auto" w:fill="FFFFFF" w:themeFill="background1"/>
                              <w:spacing w:after="0"/>
                              <w:jc w:val="center"/>
                              <w:rPr>
                                <w:rFonts w:eastAsia="Times New Roman" w:cstheme="minorHAnsi"/>
                                <w:color w:val="000000" w:themeColor="text1"/>
                                <w:shd w:val="clear" w:color="auto" w:fill="FFFFFF" w:themeFill="background1"/>
                                <w14:textFill>
                                  <w14:solidFill>
                                    <w14:schemeClr w14:val="tx1"/>
                                  </w14:solidFill>
                                </w14:textFill>
                              </w:rPr>
                            </w:pPr>
                          </w:p>
                          <w:p w14:paraId="7E99AEE3">
                            <w:pPr>
                              <w:shd w:val="clear" w:color="auto" w:fill="FFFFFF" w:themeFill="background1"/>
                              <w:spacing w:after="0"/>
                              <w:jc w:val="center"/>
                              <w:rPr>
                                <w:shd w:val="clear" w:color="auto" w:fill="FFFFFF" w:themeFill="background1"/>
                              </w:rPr>
                            </w:pPr>
                          </w:p>
                        </w:txbxContent>
                      </wps:txbx>
                      <wps:bodyPr rot="0" vert="horz" wrap="square" lIns="90000" tIns="90000" rIns="90000" bIns="90000" anchor="ctr" anchorCtr="0">
                        <a:noAutofit/>
                      </wps:bodyPr>
                    </wps:wsp>
                  </a:graphicData>
                </a:graphic>
              </wp:inline>
            </w:drawing>
          </mc:Choice>
          <mc:Fallback>
            <w:pict>
              <v:shape id="Text Box 217" o:spid="_x0000_s1026" o:spt="202" type="#_x0000_t202" style="height:179.25pt;width:451.3pt;v-text-anchor:middle;" fillcolor="#FFFFFF [3212]" filled="t" stroked="t" coordsize="21600,21600" o:gfxdata="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JD+3uDUAAAABQEAAA8AAAAAAAAAAQAgAAAAIgAAAGRycy9kb3ducmV2LnhtbFBLAQIUABQAAAAI&#10;AIdO4kCkeuC5KgIAAIIEAAAOAAAAAAAAAAEAIAAAACMBAABkcnMvZTJvRG9jLnhtbFBLBQYAAAAA&#10;BgAGAFkBAAC/BQAAAAA=&#10;">
                <v:fill on="t" focussize="0,0"/>
                <v:stroke weight="6pt" color="#FF0000" miterlimit="8" joinstyle="miter"/>
                <v:imagedata o:title=""/>
                <o:lock v:ext="edit" aspectratio="f"/>
                <v:textbox inset="2.5mm,2.5mm,2.5mm,2.5mm">
                  <w:txbxContent>
                    <w:p w14:paraId="1840698B">
                      <w:pPr>
                        <w:shd w:val="clear" w:color="auto" w:fill="FFFFFF" w:themeFill="background1"/>
                        <w:spacing w:after="0"/>
                        <w:rPr>
                          <w:b/>
                          <w:bCs/>
                          <w:shd w:val="clear" w:color="auto" w:fill="FFFFFF" w:themeFill="background1"/>
                        </w:rPr>
                      </w:pPr>
                      <w:r>
                        <w:rPr>
                          <w:b/>
                          <w:bCs/>
                          <w:shd w:val="clear" w:color="auto" w:fill="FFFFFF" w:themeFill="background1"/>
                        </w:rPr>
                        <w:t>NOTE</w:t>
                      </w:r>
                    </w:p>
                    <w:p w14:paraId="150DB2AC">
                      <w:pPr>
                        <w:pStyle w:val="24"/>
                        <w:numPr>
                          <w:ilvl w:val="0"/>
                          <w:numId w:val="6"/>
                        </w:numPr>
                        <w:shd w:val="clear" w:color="auto" w:fill="FFFFFF" w:themeFill="background1"/>
                        <w:spacing w:after="0"/>
                        <w:ind w:left="284" w:hanging="284"/>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color w:val="000000" w:themeColor="text1"/>
                          <w:shd w:val="clear" w:color="auto" w:fill="FFFFFF" w:themeFill="background1"/>
                          <w14:textFill>
                            <w14:solidFill>
                              <w14:schemeClr w14:val="tx1"/>
                            </w14:solidFill>
                          </w14:textFill>
                        </w:rPr>
                        <w:t xml:space="preserve">Distinguish between </w:t>
                      </w:r>
                      <w:r>
                        <w:rPr>
                          <w:rFonts w:eastAsia="Times New Roman" w:cstheme="minorHAnsi"/>
                          <w:b/>
                          <w:bCs/>
                          <w:color w:val="000000" w:themeColor="text1"/>
                          <w:shd w:val="clear" w:color="auto" w:fill="FFFFFF" w:themeFill="background1"/>
                          <w14:textFill>
                            <w14:solidFill>
                              <w14:schemeClr w14:val="tx1"/>
                            </w14:solidFill>
                          </w14:textFill>
                        </w:rPr>
                        <w:t xml:space="preserve">Works Cited referenced </w:t>
                      </w:r>
                      <w:r>
                        <w:rPr>
                          <w:rFonts w:eastAsia="Times New Roman" w:cstheme="minorHAnsi"/>
                          <w:color w:val="000000" w:themeColor="text1"/>
                          <w:shd w:val="clear" w:color="auto" w:fill="FFFFFF" w:themeFill="background1"/>
                          <w14:textFill>
                            <w14:solidFill>
                              <w14:schemeClr w14:val="tx1"/>
                            </w14:solidFill>
                          </w14:textFill>
                        </w:rPr>
                        <w:t xml:space="preserve">in the above sections and </w:t>
                      </w:r>
                      <w:r>
                        <w:rPr>
                          <w:rFonts w:eastAsia="Times New Roman" w:cstheme="minorHAnsi"/>
                          <w:b/>
                          <w:bCs/>
                          <w:color w:val="000000" w:themeColor="text1"/>
                          <w:shd w:val="clear" w:color="auto" w:fill="FFFFFF" w:themeFill="background1"/>
                          <w14:textFill>
                            <w14:solidFill>
                              <w14:schemeClr w14:val="tx1"/>
                            </w14:solidFill>
                          </w14:textFill>
                        </w:rPr>
                        <w:t>Further Reading</w:t>
                      </w:r>
                      <w:r>
                        <w:rPr>
                          <w:rFonts w:eastAsia="Times New Roman" w:cstheme="minorHAnsi"/>
                          <w:color w:val="000000" w:themeColor="text1"/>
                          <w:shd w:val="clear" w:color="auto" w:fill="FFFFFF" w:themeFill="background1"/>
                          <w14:textFill>
                            <w14:solidFill>
                              <w14:schemeClr w14:val="tx1"/>
                            </w14:solidFill>
                          </w14:textFill>
                        </w:rPr>
                        <w:t xml:space="preserve"> </w:t>
                      </w:r>
                      <w:r>
                        <w:rPr>
                          <w:rFonts w:eastAsia="Times New Roman" w:cstheme="minorHAnsi"/>
                          <w:b/>
                          <w:bCs/>
                          <w:color w:val="000000" w:themeColor="text1"/>
                          <w:shd w:val="clear" w:color="auto" w:fill="FFFFFF" w:themeFill="background1"/>
                          <w14:textFill>
                            <w14:solidFill>
                              <w14:schemeClr w14:val="tx1"/>
                            </w14:solidFill>
                          </w14:textFill>
                        </w:rPr>
                        <w:t>suggestions</w:t>
                      </w:r>
                      <w:r>
                        <w:rPr>
                          <w:rFonts w:eastAsia="Times New Roman" w:cstheme="minorHAnsi"/>
                          <w:color w:val="000000" w:themeColor="text1"/>
                          <w:shd w:val="clear" w:color="auto" w:fill="FFFFFF" w:themeFill="background1"/>
                          <w14:textFill>
                            <w14:solidFill>
                              <w14:schemeClr w14:val="tx1"/>
                            </w14:solidFill>
                          </w14:textFill>
                        </w:rPr>
                        <w:t>.</w:t>
                      </w:r>
                    </w:p>
                    <w:p w14:paraId="617007E2">
                      <w:pPr>
                        <w:pStyle w:val="24"/>
                        <w:numPr>
                          <w:ilvl w:val="0"/>
                          <w:numId w:val="6"/>
                        </w:numPr>
                        <w:shd w:val="clear" w:color="auto" w:fill="FFFFFF" w:themeFill="background1"/>
                        <w:spacing w:after="0"/>
                        <w:ind w:left="284" w:hanging="284"/>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color w:val="000000" w:themeColor="text1"/>
                          <w:shd w:val="clear" w:color="auto" w:fill="FFFFFF" w:themeFill="background1"/>
                          <w14:textFill>
                            <w14:solidFill>
                              <w14:schemeClr w14:val="tx1"/>
                            </w14:solidFill>
                          </w14:textFill>
                        </w:rPr>
                        <w:t xml:space="preserve">List the references in </w:t>
                      </w:r>
                      <w:r>
                        <w:rPr>
                          <w:rFonts w:eastAsia="Times New Roman" w:cstheme="minorHAnsi"/>
                          <w:b/>
                          <w:bCs/>
                          <w:color w:val="000000" w:themeColor="text1"/>
                          <w:shd w:val="clear" w:color="auto" w:fill="FFFFFF" w:themeFill="background1"/>
                          <w14:textFill>
                            <w14:solidFill>
                              <w14:schemeClr w14:val="tx1"/>
                            </w14:solidFill>
                          </w14:textFill>
                        </w:rPr>
                        <w:t>alphabetical order</w:t>
                      </w:r>
                      <w:r>
                        <w:rPr>
                          <w:rFonts w:eastAsia="Times New Roman" w:cstheme="minorHAnsi"/>
                          <w:color w:val="000000" w:themeColor="text1"/>
                          <w:shd w:val="clear" w:color="auto" w:fill="FFFFFF" w:themeFill="background1"/>
                          <w14:textFill>
                            <w14:solidFill>
                              <w14:schemeClr w14:val="tx1"/>
                            </w14:solidFill>
                          </w14:textFill>
                        </w:rPr>
                        <w:t xml:space="preserve"> and format using the </w:t>
                      </w:r>
                      <w:r>
                        <w:rPr>
                          <w:rFonts w:eastAsia="Times New Roman" w:cstheme="minorHAnsi"/>
                          <w:b/>
                          <w:bCs/>
                          <w:color w:val="000000" w:themeColor="text1"/>
                          <w:shd w:val="clear" w:color="auto" w:fill="FFFFFF" w:themeFill="background1"/>
                          <w14:textFill>
                            <w14:solidFill>
                              <w14:schemeClr w14:val="tx1"/>
                            </w14:solidFill>
                          </w14:textFill>
                        </w:rPr>
                        <w:t>AMA Citation Style</w:t>
                      </w:r>
                      <w:r>
                        <w:rPr>
                          <w:rFonts w:eastAsia="Times New Roman" w:cstheme="minorHAnsi"/>
                          <w:color w:val="000000" w:themeColor="text1"/>
                          <w:shd w:val="clear" w:color="auto" w:fill="FFFFFF" w:themeFill="background1"/>
                          <w14:textFill>
                            <w14:solidFill>
                              <w14:schemeClr w14:val="tx1"/>
                            </w14:solidFill>
                          </w14:textFill>
                        </w:rPr>
                        <w:t>.</w:t>
                      </w:r>
                    </w:p>
                    <w:p w14:paraId="21EB56B9">
                      <w:pPr>
                        <w:pStyle w:val="24"/>
                        <w:numPr>
                          <w:ilvl w:val="0"/>
                          <w:numId w:val="6"/>
                        </w:numPr>
                        <w:shd w:val="clear" w:color="auto" w:fill="FFFFFF" w:themeFill="background1"/>
                        <w:spacing w:after="0"/>
                        <w:ind w:left="284" w:hanging="284"/>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color w:val="000000" w:themeColor="text1"/>
                          <w:shd w:val="clear" w:color="auto" w:fill="FFFFFF" w:themeFill="background1"/>
                          <w14:textFill>
                            <w14:solidFill>
                              <w14:schemeClr w14:val="tx1"/>
                            </w14:solidFill>
                          </w14:textFill>
                        </w:rPr>
                        <w:t xml:space="preserve">Note that </w:t>
                      </w:r>
                      <w:r>
                        <w:rPr>
                          <w:rFonts w:eastAsia="Times New Roman" w:cstheme="minorHAnsi"/>
                          <w:b/>
                          <w:bCs/>
                          <w:color w:val="000000" w:themeColor="text1"/>
                          <w:shd w:val="clear" w:color="auto" w:fill="FFFFFF" w:themeFill="background1"/>
                          <w14:textFill>
                            <w14:solidFill>
                              <w14:schemeClr w14:val="tx1"/>
                            </w14:solidFill>
                          </w14:textFill>
                        </w:rPr>
                        <w:t>references should be listed by author name</w:t>
                      </w:r>
                      <w:r>
                        <w:rPr>
                          <w:rFonts w:eastAsia="Times New Roman" w:cstheme="minorHAnsi"/>
                          <w:color w:val="000000" w:themeColor="text1"/>
                          <w:shd w:val="clear" w:color="auto" w:fill="FFFFFF" w:themeFill="background1"/>
                          <w14:textFill>
                            <w14:solidFill>
                              <w14:schemeClr w14:val="tx1"/>
                            </w14:solidFill>
                          </w14:textFill>
                        </w:rPr>
                        <w:t xml:space="preserve"> and </w:t>
                      </w:r>
                      <w:r>
                        <w:rPr>
                          <w:rFonts w:eastAsia="Times New Roman" w:cstheme="minorHAnsi"/>
                          <w:color w:val="000000" w:themeColor="text1"/>
                          <w:u w:val="single"/>
                          <w:shd w:val="clear" w:color="auto" w:fill="FFFFFF" w:themeFill="background1"/>
                          <w14:textFill>
                            <w14:solidFill>
                              <w14:schemeClr w14:val="tx1"/>
                            </w14:solidFill>
                          </w14:textFill>
                        </w:rPr>
                        <w:t>not numbered</w:t>
                      </w:r>
                      <w:r>
                        <w:rPr>
                          <w:rFonts w:eastAsia="Times New Roman" w:cstheme="minorHAnsi"/>
                          <w:color w:val="000000" w:themeColor="text1"/>
                          <w:shd w:val="clear" w:color="auto" w:fill="FFFFFF" w:themeFill="background1"/>
                          <w14:textFill>
                            <w14:solidFill>
                              <w14:schemeClr w14:val="tx1"/>
                            </w14:solidFill>
                          </w14:textFill>
                        </w:rPr>
                        <w:t>.</w:t>
                      </w:r>
                    </w:p>
                    <w:p w14:paraId="5C6AC714">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p>
                    <w:p w14:paraId="07643C3C">
                      <w:pPr>
                        <w:shd w:val="clear" w:color="auto" w:fill="FFFFFF" w:themeFill="background1"/>
                        <w:spacing w:after="0"/>
                        <w:rPr>
                          <w:rFonts w:eastAsia="Times New Roman" w:cstheme="minorHAnsi"/>
                          <w:i/>
                          <w:iCs/>
                          <w:color w:val="000000" w:themeColor="text1"/>
                          <w:shd w:val="clear" w:color="auto" w:fill="FFFFFF" w:themeFill="background1"/>
                          <w14:textFill>
                            <w14:solidFill>
                              <w14:schemeClr w14:val="tx1"/>
                            </w14:solidFill>
                          </w14:textFill>
                        </w:rPr>
                      </w:pPr>
                      <w:r>
                        <w:rPr>
                          <w:rFonts w:eastAsia="Times New Roman" w:cstheme="minorHAnsi"/>
                          <w:i/>
                          <w:iCs/>
                          <w:color w:val="000000" w:themeColor="text1"/>
                          <w:shd w:val="clear" w:color="auto" w:fill="FFFFFF" w:themeFill="background1"/>
                          <w14:textFill>
                            <w14:solidFill>
                              <w14:schemeClr w14:val="tx1"/>
                            </w14:solidFill>
                          </w14:textFill>
                        </w:rPr>
                        <w:t>For example:</w:t>
                      </w:r>
                    </w:p>
                    <w:p w14:paraId="2B6787D7">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color w:val="000000" w:themeColor="text1"/>
                          <w:shd w:val="clear" w:color="auto" w:fill="FFFFFF" w:themeFill="background1"/>
                          <w14:textFill>
                            <w14:solidFill>
                              <w14:schemeClr w14:val="tx1"/>
                            </w14:solidFill>
                          </w14:textFill>
                        </w:rPr>
                        <w:t xml:space="preserve">Khoriati A, Antonios T, Gulihar A, et al. Single vs double row repair in rotator cuff tears – A review and analysis of current evidence. </w:t>
                      </w:r>
                      <w:r>
                        <w:rPr>
                          <w:rFonts w:eastAsia="Times New Roman" w:cstheme="minorHAnsi"/>
                          <w:i/>
                          <w:iCs/>
                          <w:color w:val="000000" w:themeColor="text1"/>
                          <w:shd w:val="clear" w:color="auto" w:fill="FFFFFF" w:themeFill="background1"/>
                          <w14:textFill>
                            <w14:solidFill>
                              <w14:schemeClr w14:val="tx1"/>
                            </w14:solidFill>
                          </w14:textFill>
                        </w:rPr>
                        <w:t>J Clin Orthop Trauma</w:t>
                      </w:r>
                      <w:r>
                        <w:rPr>
                          <w:rFonts w:eastAsia="Times New Roman" w:cstheme="minorHAnsi"/>
                          <w:color w:val="000000" w:themeColor="text1"/>
                          <w:shd w:val="clear" w:color="auto" w:fill="FFFFFF" w:themeFill="background1"/>
                          <w14:textFill>
                            <w14:solidFill>
                              <w14:schemeClr w14:val="tx1"/>
                            </w14:solidFill>
                          </w14:textFill>
                        </w:rPr>
                        <w:t>. 2019;10(2):236-240. doi:10.1016/j.jcot.2019.01.027.</w:t>
                      </w:r>
                    </w:p>
                    <w:p w14:paraId="3DD305DE">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p>
                    <w:p w14:paraId="6394E96B">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color w:val="000000" w:themeColor="text1"/>
                          <w:shd w:val="clear" w:color="auto" w:fill="FFFFFF" w:themeFill="background1"/>
                          <w14:textFill>
                            <w14:solidFill>
                              <w14:schemeClr w14:val="tx1"/>
                            </w14:solidFill>
                          </w14:textFill>
                        </w:rPr>
                        <w:t xml:space="preserve">Loscalzo J, Fauci A, Kasper D, et al., eds. </w:t>
                      </w:r>
                      <w:r>
                        <w:rPr>
                          <w:rFonts w:eastAsia="Times New Roman" w:cstheme="minorHAnsi"/>
                          <w:i/>
                          <w:iCs/>
                          <w:color w:val="000000" w:themeColor="text1"/>
                          <w:shd w:val="clear" w:color="auto" w:fill="FFFFFF" w:themeFill="background1"/>
                          <w14:textFill>
                            <w14:solidFill>
                              <w14:schemeClr w14:val="tx1"/>
                            </w14:solidFill>
                          </w14:textFill>
                        </w:rPr>
                        <w:t>Harrison's Principles of Internal Medicine</w:t>
                      </w:r>
                      <w:r>
                        <w:rPr>
                          <w:rFonts w:eastAsia="Times New Roman" w:cstheme="minorHAnsi"/>
                          <w:color w:val="000000" w:themeColor="text1"/>
                          <w:shd w:val="clear" w:color="auto" w:fill="FFFFFF" w:themeFill="background1"/>
                          <w14:textFill>
                            <w14:solidFill>
                              <w14:schemeClr w14:val="tx1"/>
                            </w14:solidFill>
                          </w14:textFill>
                        </w:rPr>
                        <w:t>. 21st ed. New York: McGraw Hill; 2022. https://accessmedicine.mhmedical.com/book.aspx?bookID=3095. Accessed July 7, 2023.</w:t>
                      </w:r>
                    </w:p>
                    <w:p w14:paraId="62CB8A8E">
                      <w:pPr>
                        <w:shd w:val="clear" w:color="auto" w:fill="FFFFFF" w:themeFill="background1"/>
                        <w:spacing w:after="0"/>
                        <w:jc w:val="center"/>
                        <w:rPr>
                          <w:rFonts w:eastAsia="Times New Roman" w:cstheme="minorHAnsi"/>
                          <w:color w:val="000000" w:themeColor="text1"/>
                          <w:shd w:val="clear" w:color="auto" w:fill="FFFFFF" w:themeFill="background1"/>
                          <w14:textFill>
                            <w14:solidFill>
                              <w14:schemeClr w14:val="tx1"/>
                            </w14:solidFill>
                          </w14:textFill>
                        </w:rPr>
                      </w:pPr>
                    </w:p>
                    <w:p w14:paraId="358F5DE0">
                      <w:pPr>
                        <w:shd w:val="clear" w:color="auto" w:fill="FFFFFF" w:themeFill="background1"/>
                        <w:spacing w:after="0"/>
                        <w:jc w:val="center"/>
                        <w:rPr>
                          <w:rFonts w:eastAsia="Times New Roman" w:cstheme="minorHAnsi"/>
                          <w:color w:val="000000" w:themeColor="text1"/>
                          <w:shd w:val="clear" w:color="auto" w:fill="FFFFFF" w:themeFill="background1"/>
                          <w14:textFill>
                            <w14:solidFill>
                              <w14:schemeClr w14:val="tx1"/>
                            </w14:solidFill>
                          </w14:textFill>
                        </w:rPr>
                      </w:pPr>
                    </w:p>
                    <w:p w14:paraId="5811309E">
                      <w:pPr>
                        <w:shd w:val="clear" w:color="auto" w:fill="FFFFFF" w:themeFill="background1"/>
                        <w:spacing w:after="0"/>
                        <w:jc w:val="center"/>
                        <w:rPr>
                          <w:rFonts w:eastAsia="Times New Roman" w:cstheme="minorHAnsi"/>
                          <w:color w:val="000000" w:themeColor="text1"/>
                          <w:shd w:val="clear" w:color="auto" w:fill="FFFFFF" w:themeFill="background1"/>
                          <w14:textFill>
                            <w14:solidFill>
                              <w14:schemeClr w14:val="tx1"/>
                            </w14:solidFill>
                          </w14:textFill>
                        </w:rPr>
                      </w:pPr>
                    </w:p>
                    <w:p w14:paraId="2682F9DD">
                      <w:pPr>
                        <w:shd w:val="clear" w:color="auto" w:fill="FFFFFF" w:themeFill="background1"/>
                        <w:spacing w:after="0"/>
                        <w:jc w:val="center"/>
                        <w:rPr>
                          <w:rFonts w:eastAsia="Times New Roman" w:cstheme="minorHAnsi"/>
                          <w:color w:val="000000" w:themeColor="text1"/>
                          <w:shd w:val="clear" w:color="auto" w:fill="FFFFFF" w:themeFill="background1"/>
                          <w14:textFill>
                            <w14:solidFill>
                              <w14:schemeClr w14:val="tx1"/>
                            </w14:solidFill>
                          </w14:textFill>
                        </w:rPr>
                      </w:pPr>
                    </w:p>
                    <w:p w14:paraId="09B84C4F">
                      <w:pPr>
                        <w:shd w:val="clear" w:color="auto" w:fill="FFFFFF" w:themeFill="background1"/>
                        <w:spacing w:after="0"/>
                        <w:jc w:val="center"/>
                        <w:rPr>
                          <w:rFonts w:eastAsia="Times New Roman" w:cstheme="minorHAnsi"/>
                          <w:color w:val="000000" w:themeColor="text1"/>
                          <w:shd w:val="clear" w:color="auto" w:fill="FFFFFF" w:themeFill="background1"/>
                          <w14:textFill>
                            <w14:solidFill>
                              <w14:schemeClr w14:val="tx1"/>
                            </w14:solidFill>
                          </w14:textFill>
                        </w:rPr>
                      </w:pPr>
                    </w:p>
                    <w:p w14:paraId="7E542EF0">
                      <w:pPr>
                        <w:shd w:val="clear" w:color="auto" w:fill="FFFFFF" w:themeFill="background1"/>
                        <w:spacing w:after="0"/>
                        <w:jc w:val="center"/>
                        <w:rPr>
                          <w:rFonts w:eastAsia="Times New Roman" w:cstheme="minorHAnsi"/>
                          <w:color w:val="000000" w:themeColor="text1"/>
                          <w:shd w:val="clear" w:color="auto" w:fill="FFFFFF" w:themeFill="background1"/>
                          <w14:textFill>
                            <w14:solidFill>
                              <w14:schemeClr w14:val="tx1"/>
                            </w14:solidFill>
                          </w14:textFill>
                        </w:rPr>
                      </w:pPr>
                    </w:p>
                    <w:p w14:paraId="7E99AEE3">
                      <w:pPr>
                        <w:shd w:val="clear" w:color="auto" w:fill="FFFFFF" w:themeFill="background1"/>
                        <w:spacing w:after="0"/>
                        <w:jc w:val="center"/>
                        <w:rPr>
                          <w:shd w:val="clear" w:color="auto" w:fill="FFFFFF" w:themeFill="background1"/>
                        </w:rPr>
                      </w:pPr>
                    </w:p>
                  </w:txbxContent>
                </v:textbox>
                <w10:wrap type="none"/>
                <w10:anchorlock/>
              </v:shape>
            </w:pict>
          </mc:Fallback>
        </mc:AlternateContent>
      </w:r>
    </w:p>
    <w:p w14:paraId="51D7EE88">
      <w:pPr>
        <w:pStyle w:val="3"/>
      </w:pPr>
      <w:r>
        <w:t>Works Cited</w:t>
      </w:r>
    </w:p>
    <w:p w14:paraId="63E6BBA9">
      <w:pPr>
        <w:rPr>
          <w:i/>
          <w:iCs/>
        </w:rPr>
      </w:pPr>
      <w:r>
        <w:rPr>
          <w:i/>
          <w:iCs/>
          <w:highlight w:val="lightGray"/>
        </w:rPr>
        <w:t>Include the list of works referenced in your case here. List them in alphabetical order.</w:t>
      </w:r>
    </w:p>
    <w:p w14:paraId="25BA1D96"/>
    <w:p w14:paraId="700DB923">
      <w:pPr>
        <w:pStyle w:val="3"/>
      </w:pPr>
      <w:r>
        <w:t>Further Reading</w:t>
      </w:r>
    </w:p>
    <w:p w14:paraId="27B45A57">
      <w:pPr>
        <w:rPr>
          <w:i/>
          <w:iCs/>
        </w:rPr>
      </w:pPr>
      <w:r>
        <w:rPr>
          <w:i/>
          <w:iCs/>
          <w:highlight w:val="lightGray"/>
        </w:rPr>
        <w:t>Include a list of further reading suggestions here, including works from McGraw Hill’s Access platforms. As above, list them in alphabetical order.</w:t>
      </w:r>
    </w:p>
    <w:p w14:paraId="6F9A343B"/>
    <w:p w14:paraId="49250C2D"/>
    <w:p w14:paraId="4F7A1B89">
      <w:pPr>
        <w:pStyle w:val="2"/>
      </w:pPr>
      <w:r>
        <w:t>Author and Acknowledgements</w:t>
      </w:r>
    </w:p>
    <w:p w14:paraId="1A7F2F7D">
      <w:pPr>
        <w:pStyle w:val="3"/>
      </w:pPr>
      <w:r>
        <w:t>About the Author</w:t>
      </w:r>
    </w:p>
    <w:p w14:paraId="3C158138">
      <w:r>
        <w:rPr>
          <w:highlight w:val="lightGray"/>
        </w:rPr>
        <w:t>Add here your short author bio (see example formats below).</w:t>
      </w:r>
    </w:p>
    <w:p w14:paraId="1DFF04C9"/>
    <w:p w14:paraId="53AD91E6">
      <w:r>
        <mc:AlternateContent>
          <mc:Choice Requires="wps">
            <w:drawing>
              <wp:inline distT="0" distB="0" distL="0" distR="0">
                <wp:extent cx="5731510" cy="1549400"/>
                <wp:effectExtent l="19050" t="19050" r="40640" b="31750"/>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31510" cy="1549400"/>
                        </a:xfrm>
                        <a:prstGeom prst="rect">
                          <a:avLst/>
                        </a:prstGeom>
                        <a:solidFill>
                          <a:schemeClr val="bg1"/>
                        </a:solidFill>
                        <a:ln w="57150">
                          <a:solidFill>
                            <a:srgbClr val="FF0000"/>
                          </a:solidFill>
                          <a:miter lim="800000"/>
                        </a:ln>
                      </wps:spPr>
                      <wps:txbx>
                        <w:txbxContent>
                          <w:p w14:paraId="5EA578C5">
                            <w:pPr>
                              <w:shd w:val="clear" w:color="auto" w:fill="FFFFFF" w:themeFill="background1"/>
                              <w:spacing w:after="0"/>
                              <w:rPr>
                                <w:rFonts w:eastAsia="Times New Roman" w:cstheme="minorHAnsi"/>
                                <w:b/>
                                <w:bCs/>
                                <w:color w:val="000000" w:themeColor="text1"/>
                                <w:shd w:val="clear" w:color="auto" w:fill="FFFFFF" w:themeFill="background1"/>
                                <w14:textFill>
                                  <w14:solidFill>
                                    <w14:schemeClr w14:val="tx1"/>
                                  </w14:solidFill>
                                </w14:textFill>
                              </w:rPr>
                            </w:pPr>
                            <w:r>
                              <w:rPr>
                                <w:rFonts w:eastAsia="Times New Roman" w:cstheme="minorHAnsi"/>
                                <w:b/>
                                <w:bCs/>
                                <w:color w:val="000000" w:themeColor="text1"/>
                                <w:shd w:val="clear" w:color="auto" w:fill="FFFFFF" w:themeFill="background1"/>
                                <w14:textFill>
                                  <w14:solidFill>
                                    <w14:schemeClr w14:val="tx1"/>
                                  </w14:solidFill>
                                </w14:textFill>
                              </w:rPr>
                              <w:t>Example formats:</w:t>
                            </w:r>
                          </w:p>
                          <w:p w14:paraId="594CAAED">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b/>
                                <w:bCs/>
                                <w:color w:val="000000" w:themeColor="text1"/>
                                <w:shd w:val="clear" w:color="auto" w:fill="FFFFFF" w:themeFill="background1"/>
                                <w14:textFill>
                                  <w14:solidFill>
                                    <w14:schemeClr w14:val="tx1"/>
                                  </w14:solidFill>
                                </w14:textFill>
                              </w:rPr>
                              <w:t>Dr First Name Last Name</w:t>
                            </w:r>
                            <w:r>
                              <w:rPr>
                                <w:rFonts w:eastAsia="Times New Roman" w:cstheme="minorHAnsi"/>
                                <w:color w:val="000000" w:themeColor="text1"/>
                                <w:shd w:val="clear" w:color="auto" w:fill="FFFFFF" w:themeFill="background1"/>
                                <w14:textFill>
                                  <w14:solidFill>
                                    <w14:schemeClr w14:val="tx1"/>
                                  </w14:solidFill>
                                </w14:textFill>
                              </w:rPr>
                              <w:t>, MBBS (Singapore), MCEM, MMed (Emerg Med), is a consultant at the Emergency Medicine Department of National University Hospital, Singapore.</w:t>
                            </w:r>
                          </w:p>
                          <w:p w14:paraId="19D13F90">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p>
                          <w:p w14:paraId="265BE700">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b/>
                                <w:bCs/>
                                <w:color w:val="000000" w:themeColor="text1"/>
                                <w:shd w:val="clear" w:color="auto" w:fill="FFFFFF" w:themeFill="background1"/>
                                <w14:textFill>
                                  <w14:solidFill>
                                    <w14:schemeClr w14:val="tx1"/>
                                  </w14:solidFill>
                                </w14:textFill>
                              </w:rPr>
                              <w:t>Associate Professor First Name Last Name</w:t>
                            </w:r>
                            <w:r>
                              <w:rPr>
                                <w:rFonts w:eastAsia="Times New Roman" w:cstheme="minorHAnsi"/>
                                <w:color w:val="000000" w:themeColor="text1"/>
                                <w:shd w:val="clear" w:color="auto" w:fill="FFFFFF" w:themeFill="background1"/>
                                <w14:textFill>
                                  <w14:solidFill>
                                    <w14:schemeClr w14:val="tx1"/>
                                  </w14:solidFill>
                                </w14:textFill>
                              </w:rPr>
                              <w:t>, MBBS (Singapore), FRCSEd (A&amp;E), MHPE (Maastricht), FAMS (Emerg Med), is Senior Consultant at the Emergency Medicine Department of National University Hospital, Singapore. They are also Associate Dean/Medical Clinical Education Lead at the National University Hospital, Singapore.</w:t>
                            </w:r>
                          </w:p>
                          <w:p w14:paraId="2EB9A67F">
                            <w:pPr>
                              <w:shd w:val="clear" w:color="auto" w:fill="FFFFFF" w:themeFill="background1"/>
                              <w:spacing w:after="0"/>
                              <w:jc w:val="center"/>
                              <w:rPr>
                                <w:rFonts w:eastAsia="Times New Roman" w:cstheme="minorHAnsi"/>
                                <w:color w:val="000000" w:themeColor="text1"/>
                                <w:shd w:val="clear" w:color="auto" w:fill="FFFFFF" w:themeFill="background1"/>
                                <w14:textFill>
                                  <w14:solidFill>
                                    <w14:schemeClr w14:val="tx1"/>
                                  </w14:solidFill>
                                </w14:textFill>
                              </w:rPr>
                            </w:pPr>
                          </w:p>
                          <w:p w14:paraId="23351228">
                            <w:pPr>
                              <w:shd w:val="clear" w:color="auto" w:fill="FFFFFF" w:themeFill="background1"/>
                              <w:spacing w:after="0"/>
                              <w:jc w:val="center"/>
                              <w:rPr>
                                <w:shd w:val="clear" w:color="auto" w:fill="FFFFFF" w:themeFill="background1"/>
                              </w:rPr>
                            </w:pPr>
                          </w:p>
                        </w:txbxContent>
                      </wps:txbx>
                      <wps:bodyPr rot="0" vert="horz" wrap="square" lIns="90000" tIns="90000" rIns="90000" bIns="90000" anchor="ctr" anchorCtr="0">
                        <a:noAutofit/>
                      </wps:bodyPr>
                    </wps:wsp>
                  </a:graphicData>
                </a:graphic>
              </wp:inline>
            </w:drawing>
          </mc:Choice>
          <mc:Fallback>
            <w:pict>
              <v:shape id="Text Box 1" o:spid="_x0000_s1026" o:spt="202" type="#_x0000_t202" style="height:122pt;width:451.3pt;v-text-anchor:middle;" fillcolor="#FFFFFF [3212]" filled="t" stroked="t" coordsize="21600,21600" o:gfxdata="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W3&#10;7QTSAAAABQEAAA8AAAAAAAAAAQAgAAAAIgAAAGRycy9kb3ducmV2LnhtbFBLAQIUABQAAAAIAIdO&#10;4kBaPoSSKQIAAH4EAAAOAAAAAAAAAAEAIAAAACEBAABkcnMvZTJvRG9jLnhtbFBLBQYAAAAABgAG&#10;AFkBAAC8BQAAAAA=&#10;">
                <v:fill on="t" focussize="0,0"/>
                <v:stroke weight="4.5pt" color="#FF0000" miterlimit="8" joinstyle="miter"/>
                <v:imagedata o:title=""/>
                <o:lock v:ext="edit" aspectratio="f"/>
                <v:textbox inset="2.5mm,2.5mm,2.5mm,2.5mm">
                  <w:txbxContent>
                    <w:p w14:paraId="5EA578C5">
                      <w:pPr>
                        <w:shd w:val="clear" w:color="auto" w:fill="FFFFFF" w:themeFill="background1"/>
                        <w:spacing w:after="0"/>
                        <w:rPr>
                          <w:rFonts w:eastAsia="Times New Roman" w:cstheme="minorHAnsi"/>
                          <w:b/>
                          <w:bCs/>
                          <w:color w:val="000000" w:themeColor="text1"/>
                          <w:shd w:val="clear" w:color="auto" w:fill="FFFFFF" w:themeFill="background1"/>
                          <w14:textFill>
                            <w14:solidFill>
                              <w14:schemeClr w14:val="tx1"/>
                            </w14:solidFill>
                          </w14:textFill>
                        </w:rPr>
                      </w:pPr>
                      <w:r>
                        <w:rPr>
                          <w:rFonts w:eastAsia="Times New Roman" w:cstheme="minorHAnsi"/>
                          <w:b/>
                          <w:bCs/>
                          <w:color w:val="000000" w:themeColor="text1"/>
                          <w:shd w:val="clear" w:color="auto" w:fill="FFFFFF" w:themeFill="background1"/>
                          <w14:textFill>
                            <w14:solidFill>
                              <w14:schemeClr w14:val="tx1"/>
                            </w14:solidFill>
                          </w14:textFill>
                        </w:rPr>
                        <w:t>Example formats:</w:t>
                      </w:r>
                    </w:p>
                    <w:p w14:paraId="594CAAED">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b/>
                          <w:bCs/>
                          <w:color w:val="000000" w:themeColor="text1"/>
                          <w:shd w:val="clear" w:color="auto" w:fill="FFFFFF" w:themeFill="background1"/>
                          <w14:textFill>
                            <w14:solidFill>
                              <w14:schemeClr w14:val="tx1"/>
                            </w14:solidFill>
                          </w14:textFill>
                        </w:rPr>
                        <w:t>Dr First Name Last Name</w:t>
                      </w:r>
                      <w:r>
                        <w:rPr>
                          <w:rFonts w:eastAsia="Times New Roman" w:cstheme="minorHAnsi"/>
                          <w:color w:val="000000" w:themeColor="text1"/>
                          <w:shd w:val="clear" w:color="auto" w:fill="FFFFFF" w:themeFill="background1"/>
                          <w14:textFill>
                            <w14:solidFill>
                              <w14:schemeClr w14:val="tx1"/>
                            </w14:solidFill>
                          </w14:textFill>
                        </w:rPr>
                        <w:t>, MBBS (Singapore), MCEM, MMed (Emerg Med), is a consultant at the Emergency Medicine Department of National University Hospital, Singapore.</w:t>
                      </w:r>
                    </w:p>
                    <w:p w14:paraId="19D13F90">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p>
                    <w:p w14:paraId="265BE700">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b/>
                          <w:bCs/>
                          <w:color w:val="000000" w:themeColor="text1"/>
                          <w:shd w:val="clear" w:color="auto" w:fill="FFFFFF" w:themeFill="background1"/>
                          <w14:textFill>
                            <w14:solidFill>
                              <w14:schemeClr w14:val="tx1"/>
                            </w14:solidFill>
                          </w14:textFill>
                        </w:rPr>
                        <w:t>Associate Professor First Name Last Name</w:t>
                      </w:r>
                      <w:r>
                        <w:rPr>
                          <w:rFonts w:eastAsia="Times New Roman" w:cstheme="minorHAnsi"/>
                          <w:color w:val="000000" w:themeColor="text1"/>
                          <w:shd w:val="clear" w:color="auto" w:fill="FFFFFF" w:themeFill="background1"/>
                          <w14:textFill>
                            <w14:solidFill>
                              <w14:schemeClr w14:val="tx1"/>
                            </w14:solidFill>
                          </w14:textFill>
                        </w:rPr>
                        <w:t>, MBBS (Singapore), FRCSEd (A&amp;E), MHPE (Maastricht), FAMS (Emerg Med), is Senior Consultant at the Emergency Medicine Department of National University Hospital, Singapore. They are also Associate Dean/Medical Clinical Education Lead at the National University Hospital, Singapore.</w:t>
                      </w:r>
                    </w:p>
                    <w:p w14:paraId="2EB9A67F">
                      <w:pPr>
                        <w:shd w:val="clear" w:color="auto" w:fill="FFFFFF" w:themeFill="background1"/>
                        <w:spacing w:after="0"/>
                        <w:jc w:val="center"/>
                        <w:rPr>
                          <w:rFonts w:eastAsia="Times New Roman" w:cstheme="minorHAnsi"/>
                          <w:color w:val="000000" w:themeColor="text1"/>
                          <w:shd w:val="clear" w:color="auto" w:fill="FFFFFF" w:themeFill="background1"/>
                          <w14:textFill>
                            <w14:solidFill>
                              <w14:schemeClr w14:val="tx1"/>
                            </w14:solidFill>
                          </w14:textFill>
                        </w:rPr>
                      </w:pPr>
                    </w:p>
                    <w:p w14:paraId="23351228">
                      <w:pPr>
                        <w:shd w:val="clear" w:color="auto" w:fill="FFFFFF" w:themeFill="background1"/>
                        <w:spacing w:after="0"/>
                        <w:jc w:val="center"/>
                        <w:rPr>
                          <w:shd w:val="clear" w:color="auto" w:fill="FFFFFF" w:themeFill="background1"/>
                        </w:rPr>
                      </w:pPr>
                    </w:p>
                  </w:txbxContent>
                </v:textbox>
                <w10:wrap type="none"/>
                <w10:anchorlock/>
              </v:shape>
            </w:pict>
          </mc:Fallback>
        </mc:AlternateContent>
      </w:r>
    </w:p>
    <w:p w14:paraId="67BE5B9A">
      <w:pPr>
        <w:pStyle w:val="3"/>
      </w:pPr>
      <w:r>
        <w:t>Acknowledgements</w:t>
      </w:r>
    </w:p>
    <w:p w14:paraId="0CCD2387">
      <w:r>
        <w:rPr>
          <w:highlight w:val="lightGray"/>
        </w:rPr>
        <w:t>We will include the below acknowledgement for all our cases. You can add additional acknowledgements if required.</w:t>
      </w:r>
    </w:p>
    <w:p w14:paraId="0C1B585E">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color w:val="000000" w:themeColor="text1"/>
          <w:shd w:val="clear" w:color="auto" w:fill="FFFFFF" w:themeFill="background1"/>
          <w14:textFill>
            <w14:solidFill>
              <w14:schemeClr w14:val="tx1"/>
            </w14:solidFill>
          </w14:textFill>
        </w:rPr>
        <w:t xml:space="preserve">The Publisher wishes to thank </w:t>
      </w:r>
      <w:r>
        <w:rPr>
          <w:rFonts w:eastAsia="Times New Roman" w:cstheme="minorHAnsi"/>
          <w:color w:val="FF0000"/>
          <w:shd w:val="clear" w:color="auto" w:fill="FFFFFF" w:themeFill="background1"/>
        </w:rPr>
        <w:t xml:space="preserve">Reviewer Name/Advisor Name </w:t>
      </w:r>
      <w:r>
        <w:rPr>
          <w:rFonts w:eastAsia="Times New Roman" w:cstheme="minorHAnsi"/>
          <w:color w:val="000000" w:themeColor="text1"/>
          <w:shd w:val="clear" w:color="auto" w:fill="FFFFFF" w:themeFill="background1"/>
          <w14:textFill>
            <w14:solidFill>
              <w14:schemeClr w14:val="tx1"/>
            </w14:solidFill>
          </w14:textFill>
        </w:rPr>
        <w:t>for their invaluable contributions to the case.</w:t>
      </w:r>
    </w:p>
    <w:p w14:paraId="34D899D5"/>
    <w:p w14:paraId="0E2BA88A"/>
    <w:p w14:paraId="1116EA30"/>
    <w:p w14:paraId="1A1449AE">
      <w:r>
        <w:br w:type="page"/>
      </w:r>
    </w:p>
    <w:p w14:paraId="09D2B02D">
      <w:pPr>
        <w:pStyle w:val="2"/>
      </w:pPr>
      <w:r>
        <w:t xml:space="preserve">Additional MCQs/Review Questions </w:t>
      </w:r>
      <w:r>
        <w:rPr>
          <w:color w:val="auto"/>
          <w:highlight w:val="lightGray"/>
        </w:rPr>
        <w:t>(~500-800 words)</w:t>
      </w:r>
    </w:p>
    <w:p w14:paraId="098E1305">
      <w:pPr>
        <w:rPr>
          <w:i/>
          <w:iCs/>
        </w:rPr>
      </w:pPr>
      <w:r>
        <w:rPr>
          <w:highlight w:val="lightGray"/>
        </w:rPr>
        <mc:AlternateContent>
          <mc:Choice Requires="wps">
            <w:drawing>
              <wp:inline distT="0" distB="0" distL="0" distR="0">
                <wp:extent cx="5731510" cy="1104900"/>
                <wp:effectExtent l="0" t="0" r="21590" b="19050"/>
                <wp:docPr id="5" name="Text Box 5"/>
                <wp:cNvGraphicFramePr/>
                <a:graphic xmlns:a="http://schemas.openxmlformats.org/drawingml/2006/main">
                  <a:graphicData uri="http://schemas.microsoft.com/office/word/2010/wordprocessingShape">
                    <wps:wsp>
                      <wps:cNvSpPr txBox="1">
                        <a:spLocks noChangeArrowheads="1"/>
                      </wps:cNvSpPr>
                      <wps:spPr bwMode="auto">
                        <a:xfrm>
                          <a:off x="0" y="0"/>
                          <a:ext cx="5731510" cy="1104900"/>
                        </a:xfrm>
                        <a:prstGeom prst="rect">
                          <a:avLst/>
                        </a:prstGeom>
                        <a:solidFill>
                          <a:schemeClr val="bg2"/>
                        </a:solidFill>
                        <a:ln w="9525">
                          <a:solidFill>
                            <a:srgbClr val="000000"/>
                          </a:solidFill>
                          <a:miter lim="800000"/>
                        </a:ln>
                      </wps:spPr>
                      <wps:txbx>
                        <w:txbxContent>
                          <w:p w14:paraId="3B374B34">
                            <w:pPr>
                              <w:shd w:val="clear" w:color="auto" w:fill="FFFFFF" w:themeFill="background1"/>
                              <w:spacing w:after="0"/>
                              <w:jc w:val="center"/>
                              <w:rPr>
                                <w:rFonts w:eastAsia="Times New Roman" w:cstheme="minorHAnsi"/>
                                <w:b/>
                                <w:bCs/>
                                <w:color w:val="000000" w:themeColor="text1"/>
                                <w:shd w:val="clear" w:color="auto" w:fill="FFFFFF" w:themeFill="background1"/>
                                <w14:textFill>
                                  <w14:solidFill>
                                    <w14:schemeClr w14:val="tx1"/>
                                  </w14:solidFill>
                                </w14:textFill>
                              </w:rPr>
                            </w:pPr>
                            <w:r>
                              <w:rPr>
                                <w:rFonts w:eastAsia="Times New Roman" w:cstheme="minorHAnsi"/>
                                <w:b/>
                                <w:bCs/>
                                <w:color w:val="000000" w:themeColor="text1"/>
                                <w:shd w:val="clear" w:color="auto" w:fill="FFFFFF" w:themeFill="background1"/>
                                <w14:textFill>
                                  <w14:solidFill>
                                    <w14:schemeClr w14:val="tx1"/>
                                  </w14:solidFill>
                                </w14:textFill>
                              </w:rPr>
                              <w:t>IMPORTANT</w:t>
                            </w:r>
                          </w:p>
                          <w:p w14:paraId="3E9FEAA7">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color w:val="000000" w:themeColor="text1"/>
                                <w:shd w:val="clear" w:color="auto" w:fill="FFFFFF" w:themeFill="background1"/>
                                <w14:textFill>
                                  <w14:solidFill>
                                    <w14:schemeClr w14:val="tx1"/>
                                  </w14:solidFill>
                                </w14:textFill>
                              </w:rPr>
                              <w:t xml:space="preserve">These questions should be </w:t>
                            </w:r>
                            <w:r>
                              <w:rPr>
                                <w:rFonts w:eastAsia="Times New Roman" w:cstheme="minorHAnsi"/>
                                <w:b/>
                                <w:bCs/>
                                <w:color w:val="000000" w:themeColor="text1"/>
                                <w:shd w:val="clear" w:color="auto" w:fill="FFFFFF" w:themeFill="background1"/>
                                <w14:textFill>
                                  <w14:solidFill>
                                    <w14:schemeClr w14:val="tx1"/>
                                  </w14:solidFill>
                                </w14:textFill>
                              </w:rPr>
                              <w:t>on the same topic as the case, but not directly related to the case itself</w:t>
                            </w:r>
                            <w:r>
                              <w:rPr>
                                <w:rFonts w:eastAsia="Times New Roman" w:cstheme="minorHAnsi"/>
                                <w:color w:val="000000" w:themeColor="text1"/>
                                <w:shd w:val="clear" w:color="auto" w:fill="FFFFFF" w:themeFill="background1"/>
                                <w14:textFill>
                                  <w14:solidFill>
                                    <w14:schemeClr w14:val="tx1"/>
                                  </w14:solidFill>
                                </w14:textFill>
                              </w:rPr>
                              <w:t>, as they will appear in a separate section on the platform.</w:t>
                            </w:r>
                          </w:p>
                          <w:p w14:paraId="6759E7E1">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p>
                          <w:p w14:paraId="4295537A">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color w:val="000000" w:themeColor="text1"/>
                                <w:shd w:val="clear" w:color="auto" w:fill="FFFFFF" w:themeFill="background1"/>
                                <w14:textFill>
                                  <w14:solidFill>
                                    <w14:schemeClr w14:val="tx1"/>
                                  </w14:solidFill>
                                </w14:textFill>
                              </w:rPr>
                              <w:t xml:space="preserve">Please make sure to list any </w:t>
                            </w:r>
                            <w:r>
                              <w:rPr>
                                <w:rFonts w:eastAsia="Times New Roman" w:cstheme="minorHAnsi"/>
                                <w:b/>
                                <w:bCs/>
                                <w:color w:val="000000" w:themeColor="text1"/>
                                <w:shd w:val="clear" w:color="auto" w:fill="FFFFFF" w:themeFill="background1"/>
                                <w14:textFill>
                                  <w14:solidFill>
                                    <w14:schemeClr w14:val="tx1"/>
                                  </w14:solidFill>
                                </w14:textFill>
                              </w:rPr>
                              <w:t>references</w:t>
                            </w:r>
                            <w:r>
                              <w:rPr>
                                <w:rFonts w:eastAsia="Times New Roman" w:cstheme="minorHAnsi"/>
                                <w:color w:val="000000" w:themeColor="text1"/>
                                <w:shd w:val="clear" w:color="auto" w:fill="FFFFFF" w:themeFill="background1"/>
                                <w14:textFill>
                                  <w14:solidFill>
                                    <w14:schemeClr w14:val="tx1"/>
                                  </w14:solidFill>
                                </w14:textFill>
                              </w:rPr>
                              <w:t xml:space="preserve"> cited in the explanations underneath the relevant question.</w:t>
                            </w:r>
                          </w:p>
                        </w:txbxContent>
                      </wps:txbx>
                      <wps:bodyPr rot="0" vert="horz" wrap="square" lIns="90000" tIns="90000" rIns="90000" bIns="90000" anchor="ctr" anchorCtr="0">
                        <a:noAutofit/>
                      </wps:bodyPr>
                    </wps:wsp>
                  </a:graphicData>
                </a:graphic>
              </wp:inline>
            </w:drawing>
          </mc:Choice>
          <mc:Fallback>
            <w:pict>
              <v:shape id="Text Box 5" o:spid="_x0000_s1026" o:spt="202" type="#_x0000_t202" style="height:87pt;width:451.3pt;v-text-anchor:middle;" fillcolor="#E7E6E6 [3214]" filled="t" stroked="t" coordsize="21600,21600" o:gfxdata="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8Ncfz1QAAAAUBAAAPAAAAAAAAAAEAIAAAACIAAABkcnMvZG93bnJldi54bWxQSwECFAAUAAAA&#10;CACHTuJAB6UQ8SoCAAB9BAAADgAAAAAAAAABACAAAAAkAQAAZHJzL2Uyb0RvYy54bWxQSwUGAAAA&#10;AAYABgBZAQAAwAUAAAAA&#10;">
                <v:fill on="t" focussize="0,0"/>
                <v:stroke color="#000000" miterlimit="8" joinstyle="miter"/>
                <v:imagedata o:title=""/>
                <o:lock v:ext="edit" aspectratio="f"/>
                <v:textbox inset="2.5mm,2.5mm,2.5mm,2.5mm">
                  <w:txbxContent>
                    <w:p w14:paraId="3B374B34">
                      <w:pPr>
                        <w:shd w:val="clear" w:color="auto" w:fill="FFFFFF" w:themeFill="background1"/>
                        <w:spacing w:after="0"/>
                        <w:jc w:val="center"/>
                        <w:rPr>
                          <w:rFonts w:eastAsia="Times New Roman" w:cstheme="minorHAnsi"/>
                          <w:b/>
                          <w:bCs/>
                          <w:color w:val="000000" w:themeColor="text1"/>
                          <w:shd w:val="clear" w:color="auto" w:fill="FFFFFF" w:themeFill="background1"/>
                          <w14:textFill>
                            <w14:solidFill>
                              <w14:schemeClr w14:val="tx1"/>
                            </w14:solidFill>
                          </w14:textFill>
                        </w:rPr>
                      </w:pPr>
                      <w:r>
                        <w:rPr>
                          <w:rFonts w:eastAsia="Times New Roman" w:cstheme="minorHAnsi"/>
                          <w:b/>
                          <w:bCs/>
                          <w:color w:val="000000" w:themeColor="text1"/>
                          <w:shd w:val="clear" w:color="auto" w:fill="FFFFFF" w:themeFill="background1"/>
                          <w14:textFill>
                            <w14:solidFill>
                              <w14:schemeClr w14:val="tx1"/>
                            </w14:solidFill>
                          </w14:textFill>
                        </w:rPr>
                        <w:t>IMPORTANT</w:t>
                      </w:r>
                    </w:p>
                    <w:p w14:paraId="3E9FEAA7">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color w:val="000000" w:themeColor="text1"/>
                          <w:shd w:val="clear" w:color="auto" w:fill="FFFFFF" w:themeFill="background1"/>
                          <w14:textFill>
                            <w14:solidFill>
                              <w14:schemeClr w14:val="tx1"/>
                            </w14:solidFill>
                          </w14:textFill>
                        </w:rPr>
                        <w:t xml:space="preserve">These questions should be </w:t>
                      </w:r>
                      <w:r>
                        <w:rPr>
                          <w:rFonts w:eastAsia="Times New Roman" w:cstheme="minorHAnsi"/>
                          <w:b/>
                          <w:bCs/>
                          <w:color w:val="000000" w:themeColor="text1"/>
                          <w:shd w:val="clear" w:color="auto" w:fill="FFFFFF" w:themeFill="background1"/>
                          <w14:textFill>
                            <w14:solidFill>
                              <w14:schemeClr w14:val="tx1"/>
                            </w14:solidFill>
                          </w14:textFill>
                        </w:rPr>
                        <w:t>on the same topic as the case, but not directly related to the case itself</w:t>
                      </w:r>
                      <w:r>
                        <w:rPr>
                          <w:rFonts w:eastAsia="Times New Roman" w:cstheme="minorHAnsi"/>
                          <w:color w:val="000000" w:themeColor="text1"/>
                          <w:shd w:val="clear" w:color="auto" w:fill="FFFFFF" w:themeFill="background1"/>
                          <w14:textFill>
                            <w14:solidFill>
                              <w14:schemeClr w14:val="tx1"/>
                            </w14:solidFill>
                          </w14:textFill>
                        </w:rPr>
                        <w:t>, as they will appear in a separate section on the platform.</w:t>
                      </w:r>
                    </w:p>
                    <w:p w14:paraId="6759E7E1">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p>
                    <w:p w14:paraId="4295537A">
                      <w:pPr>
                        <w:shd w:val="clear" w:color="auto" w:fill="FFFFFF" w:themeFill="background1"/>
                        <w:spacing w:after="0"/>
                        <w:rPr>
                          <w:rFonts w:eastAsia="Times New Roman" w:cstheme="minorHAnsi"/>
                          <w:color w:val="000000" w:themeColor="text1"/>
                          <w:shd w:val="clear" w:color="auto" w:fill="FFFFFF" w:themeFill="background1"/>
                          <w14:textFill>
                            <w14:solidFill>
                              <w14:schemeClr w14:val="tx1"/>
                            </w14:solidFill>
                          </w14:textFill>
                        </w:rPr>
                      </w:pPr>
                      <w:r>
                        <w:rPr>
                          <w:rFonts w:eastAsia="Times New Roman" w:cstheme="minorHAnsi"/>
                          <w:color w:val="000000" w:themeColor="text1"/>
                          <w:shd w:val="clear" w:color="auto" w:fill="FFFFFF" w:themeFill="background1"/>
                          <w14:textFill>
                            <w14:solidFill>
                              <w14:schemeClr w14:val="tx1"/>
                            </w14:solidFill>
                          </w14:textFill>
                        </w:rPr>
                        <w:t xml:space="preserve">Please make sure to list any </w:t>
                      </w:r>
                      <w:r>
                        <w:rPr>
                          <w:rFonts w:eastAsia="Times New Roman" w:cstheme="minorHAnsi"/>
                          <w:b/>
                          <w:bCs/>
                          <w:color w:val="000000" w:themeColor="text1"/>
                          <w:shd w:val="clear" w:color="auto" w:fill="FFFFFF" w:themeFill="background1"/>
                          <w14:textFill>
                            <w14:solidFill>
                              <w14:schemeClr w14:val="tx1"/>
                            </w14:solidFill>
                          </w14:textFill>
                        </w:rPr>
                        <w:t>references</w:t>
                      </w:r>
                      <w:r>
                        <w:rPr>
                          <w:rFonts w:eastAsia="Times New Roman" w:cstheme="minorHAnsi"/>
                          <w:color w:val="000000" w:themeColor="text1"/>
                          <w:shd w:val="clear" w:color="auto" w:fill="FFFFFF" w:themeFill="background1"/>
                          <w14:textFill>
                            <w14:solidFill>
                              <w14:schemeClr w14:val="tx1"/>
                            </w14:solidFill>
                          </w14:textFill>
                        </w:rPr>
                        <w:t xml:space="preserve"> cited in the explanations underneath the relevant question.</w:t>
                      </w:r>
                    </w:p>
                  </w:txbxContent>
                </v:textbox>
                <w10:wrap type="none"/>
                <w10:anchorlock/>
              </v:shape>
            </w:pict>
          </mc:Fallback>
        </mc:AlternateContent>
      </w:r>
    </w:p>
    <w:p w14:paraId="0C216338">
      <w:pPr>
        <w:pStyle w:val="10"/>
      </w:pPr>
    </w:p>
    <w:p w14:paraId="72BD61D2">
      <w:pPr>
        <w:pStyle w:val="3"/>
        <w:rPr>
          <w:color w:val="auto"/>
          <w:highlight w:val="lightGray"/>
        </w:rPr>
      </w:pPr>
      <w:r>
        <w:rPr>
          <w:color w:val="auto"/>
          <w:highlight w:val="lightGray"/>
        </w:rPr>
        <w:t>Questions and Answers (Single Best Answer MCQs)</w:t>
      </w:r>
    </w:p>
    <w:p w14:paraId="33C668BE">
      <w:pPr>
        <w:pStyle w:val="10"/>
        <w:rPr>
          <w:highlight w:val="yellow"/>
        </w:rPr>
      </w:pPr>
      <w:r>
        <w:rPr>
          <w:highlight w:val="yellow"/>
        </w:rPr>
        <w:t>Category: Pre-Clinical/Clinical Practice</w:t>
      </w:r>
    </w:p>
    <w:p w14:paraId="51E3DCF7">
      <w:pPr>
        <w:pStyle w:val="10"/>
      </w:pPr>
      <w:r>
        <w:rPr>
          <w:highlight w:val="yellow"/>
        </w:rPr>
        <w:t xml:space="preserve">Questions Topic/Sub-Category: </w:t>
      </w:r>
      <w:sdt>
        <w:sdtPr>
          <w:rPr>
            <w:highlight w:val="yellow"/>
          </w:rPr>
          <w:id w:val="-632252468"/>
          <w:placeholder>
            <w:docPart w:val="7AE6DC715A724A42B46915D638E28CED"/>
          </w:placeholder>
          <w:showingPlcHdr/>
          <w:dropDownList>
            <w:listItem w:displayText="Anaesthesia" w:value="Anaesthesia"/>
            <w:listItem w:displayText="Cardiovascular System" w:value="Cardiovascular System"/>
            <w:listItem w:displayText="Dermatology" w:value="Dermatology"/>
            <w:listItem w:displayText="Developmental Disorders" w:value="Developmental Disorders"/>
            <w:listItem w:displayText="Ears, Nose and Throat" w:value="Ears, Nose and Throat"/>
            <w:listItem w:displayText="Endocrine System and Metabolism" w:value="Endocrine System and Metabolism"/>
            <w:listItem w:displayText="Gastrointestinal System" w:value="Gastrointestinal System"/>
            <w:listItem w:displayText="Genitourinary System" w:value="Genitourinary System"/>
            <w:listItem w:displayText="Geriatrics" w:value="Geriatrics"/>
            <w:listItem w:displayText="Haematology" w:value="Haematology"/>
            <w:listItem w:displayText="Immune System" w:value="Immune System"/>
            <w:listItem w:displayText="Infectious Diseases" w:value="Infectious Diseases"/>
            <w:listItem w:displayText="Mental Health" w:value="Mental Health"/>
            <w:listItem w:displayText="Musculoskeletal System" w:value="Musculoskeletal System"/>
            <w:listItem w:displayText="Nervous System" w:value="Nervous System"/>
            <w:listItem w:displayText="Obstetrics and Gynaecology" w:value="Obstetrics and Gynaecology"/>
            <w:listItem w:displayText="Occupational Medicine" w:value="Occupational Medicine"/>
            <w:listItem w:displayText="Oncology" w:value="Oncology"/>
            <w:listItem w:displayText="Ophthalmology" w:value="Ophthalmology"/>
            <w:listItem w:displayText="Palliative Care" w:value="Palliative Care"/>
            <w:listItem w:displayText="Pharmacology" w:value="Pharmacology"/>
            <w:listItem w:displayText="Preventive Health" w:value="Preventive Health"/>
            <w:listItem w:displayText="Respiratory System" w:value="Respiratory System"/>
            <w:listItem w:displayText="Toxicology and Toxinology" w:value="Toxicology and Toxinology"/>
            <w:listItem w:displayText="Trauma and Environmental Health" w:value="Trauma and Environmental Health"/>
            <w:listItem w:displayText="Travel Medicine" w:value="Travel Medicine"/>
          </w:dropDownList>
        </w:sdtPr>
        <w:sdtEndPr>
          <w:rPr>
            <w:highlight w:val="yellow"/>
          </w:rPr>
        </w:sdtEndPr>
        <w:sdtContent>
          <w:r>
            <w:rPr>
              <w:rStyle w:val="28"/>
              <w:highlight w:val="yellow"/>
            </w:rPr>
            <w:t>Choose an item.</w:t>
          </w:r>
        </w:sdtContent>
      </w:sdt>
    </w:p>
    <w:p w14:paraId="6DC496C8"/>
    <w:p w14:paraId="65B04DF1">
      <w:r>
        <w:rPr>
          <w:b/>
          <w:bCs/>
        </w:rPr>
        <w:t>Question 1.</w:t>
      </w:r>
      <w:r>
        <w:t xml:space="preserve"> Write your scenario (if applicable) and question here.</w:t>
      </w:r>
    </w:p>
    <w:p w14:paraId="3EA33FE2">
      <w:r>
        <w:t>a) First answer option</w:t>
      </w:r>
    </w:p>
    <w:p w14:paraId="17D686B6">
      <w:r>
        <w:t>b) Second answer option</w:t>
      </w:r>
    </w:p>
    <w:p w14:paraId="1BFAC425">
      <w:r>
        <w:t>c) Third answer option</w:t>
      </w:r>
    </w:p>
    <w:p w14:paraId="7E43729D">
      <w:r>
        <w:t>d) Fourth answer option</w:t>
      </w:r>
    </w:p>
    <w:p w14:paraId="35858C44">
      <w:r>
        <w:t>e) Fifth answer option</w:t>
      </w:r>
    </w:p>
    <w:p w14:paraId="5F62EE09">
      <w:pPr>
        <w:rPr>
          <w:i/>
          <w:iCs/>
          <w:color w:val="FF0000"/>
        </w:rPr>
      </w:pPr>
      <w:r>
        <w:rPr>
          <w:b/>
          <w:bCs/>
        </w:rPr>
        <w:t>Answer:</w:t>
      </w:r>
      <w:r>
        <w:t xml:space="preserve"> The correct answer is </w:t>
      </w:r>
      <w:r>
        <w:rPr>
          <w:b/>
          <w:bCs/>
        </w:rPr>
        <w:t xml:space="preserve">A/B/C/D/E </w:t>
      </w:r>
      <w:r>
        <w:rPr>
          <w:i/>
          <w:iCs/>
          <w:highlight w:val="lightGray"/>
        </w:rPr>
        <w:t>Note to authors: delete as appropriate</w:t>
      </w:r>
    </w:p>
    <w:p w14:paraId="430A6BF5">
      <w:r>
        <w:rPr>
          <w:b/>
          <w:bCs/>
        </w:rPr>
        <w:t>Explanation:</w:t>
      </w:r>
      <w:r>
        <w:t xml:space="preserve"> Write here the explanation of the correct answer.</w:t>
      </w:r>
    </w:p>
    <w:p w14:paraId="0AE68C15">
      <w:r>
        <w:rPr>
          <w:b/>
          <w:bCs/>
        </w:rPr>
        <w:t>References</w:t>
      </w:r>
      <w:r>
        <w:t>:</w:t>
      </w:r>
      <w:r>
        <w:rPr>
          <w:i/>
          <w:iCs/>
        </w:rPr>
        <w:t xml:space="preserve"> </w:t>
      </w:r>
      <w:r>
        <w:rPr>
          <w:i/>
          <w:iCs/>
          <w:highlight w:val="lightGray"/>
        </w:rPr>
        <w:t>if any</w:t>
      </w:r>
    </w:p>
    <w:p w14:paraId="73F2D6C6"/>
    <w:p w14:paraId="4998A8AB">
      <w:r>
        <w:rPr>
          <w:b/>
          <w:bCs/>
        </w:rPr>
        <w:t>Question 2.</w:t>
      </w:r>
      <w:r>
        <w:t xml:space="preserve"> Write your scenario (if applicable) and question here.</w:t>
      </w:r>
    </w:p>
    <w:p w14:paraId="0C93D41B">
      <w:r>
        <w:t>a) First answer option</w:t>
      </w:r>
    </w:p>
    <w:p w14:paraId="1E3CCDED">
      <w:r>
        <w:t>b) Second answer option</w:t>
      </w:r>
    </w:p>
    <w:p w14:paraId="1DB4C6D4">
      <w:r>
        <w:t>c) Third answer option</w:t>
      </w:r>
    </w:p>
    <w:p w14:paraId="3B3C82AA">
      <w:r>
        <w:t>d) Fourth answer option</w:t>
      </w:r>
    </w:p>
    <w:p w14:paraId="1B6D90D2">
      <w:r>
        <w:t>e) Fifth answer option</w:t>
      </w:r>
    </w:p>
    <w:p w14:paraId="597ECCFC">
      <w:pPr>
        <w:rPr>
          <w:i/>
          <w:iCs/>
          <w:color w:val="FF0000"/>
        </w:rPr>
      </w:pPr>
      <w:r>
        <w:rPr>
          <w:b/>
          <w:bCs/>
        </w:rPr>
        <w:t>Answer:</w:t>
      </w:r>
      <w:r>
        <w:t xml:space="preserve"> The correct answer is </w:t>
      </w:r>
      <w:r>
        <w:rPr>
          <w:b/>
          <w:bCs/>
        </w:rPr>
        <w:t xml:space="preserve">A/B/C/D/E </w:t>
      </w:r>
      <w:r>
        <w:rPr>
          <w:i/>
          <w:iCs/>
          <w:highlight w:val="lightGray"/>
        </w:rPr>
        <w:t>Note to authors: delete as appropriate</w:t>
      </w:r>
    </w:p>
    <w:p w14:paraId="708ABD94">
      <w:r>
        <w:rPr>
          <w:b/>
          <w:bCs/>
        </w:rPr>
        <w:t>Explanation:</w:t>
      </w:r>
      <w:r>
        <w:t xml:space="preserve"> Write here the explanation of the correct answer.</w:t>
      </w:r>
    </w:p>
    <w:p w14:paraId="6A386828">
      <w:r>
        <w:rPr>
          <w:b/>
          <w:bCs/>
        </w:rPr>
        <w:t>References</w:t>
      </w:r>
      <w:r>
        <w:t>:</w:t>
      </w:r>
      <w:r>
        <w:rPr>
          <w:i/>
          <w:iCs/>
        </w:rPr>
        <w:t xml:space="preserve"> </w:t>
      </w:r>
      <w:r>
        <w:rPr>
          <w:i/>
          <w:iCs/>
          <w:highlight w:val="lightGray"/>
        </w:rPr>
        <w:t>if any</w:t>
      </w:r>
    </w:p>
    <w:p w14:paraId="459C8CF5"/>
    <w:p w14:paraId="21D8777C">
      <w:r>
        <w:rPr>
          <w:b/>
          <w:bCs/>
        </w:rPr>
        <w:t>Question 3.</w:t>
      </w:r>
      <w:r>
        <w:t xml:space="preserve"> Write your scenario (if applicable) and question here.</w:t>
      </w:r>
    </w:p>
    <w:p w14:paraId="38DF8AE8">
      <w:r>
        <w:t>a) First answer option</w:t>
      </w:r>
    </w:p>
    <w:p w14:paraId="72E0A5F8">
      <w:r>
        <w:t>b) Second answer option</w:t>
      </w:r>
    </w:p>
    <w:p w14:paraId="2F4C0412">
      <w:r>
        <w:t>c) Third answer option</w:t>
      </w:r>
    </w:p>
    <w:p w14:paraId="1244EC73">
      <w:r>
        <w:t>d) Fourth answer option</w:t>
      </w:r>
    </w:p>
    <w:p w14:paraId="792FBD4F">
      <w:r>
        <w:t>e) Fifth answer option</w:t>
      </w:r>
    </w:p>
    <w:p w14:paraId="3818A608">
      <w:pPr>
        <w:rPr>
          <w:i/>
          <w:iCs/>
          <w:color w:val="FF0000"/>
        </w:rPr>
      </w:pPr>
      <w:r>
        <w:rPr>
          <w:b/>
          <w:bCs/>
        </w:rPr>
        <w:t>Answer:</w:t>
      </w:r>
      <w:r>
        <w:t xml:space="preserve"> The correct answer is </w:t>
      </w:r>
      <w:r>
        <w:rPr>
          <w:b/>
          <w:bCs/>
        </w:rPr>
        <w:t xml:space="preserve">A/B/C/D/E </w:t>
      </w:r>
      <w:r>
        <w:rPr>
          <w:i/>
          <w:iCs/>
          <w:highlight w:val="lightGray"/>
        </w:rPr>
        <w:t>Note to authors: delete as appropriate</w:t>
      </w:r>
    </w:p>
    <w:p w14:paraId="24A6489D">
      <w:r>
        <w:rPr>
          <w:b/>
          <w:bCs/>
        </w:rPr>
        <w:t>Explanation:</w:t>
      </w:r>
      <w:r>
        <w:t xml:space="preserve"> Write here the explanation of the correct answer.</w:t>
      </w:r>
    </w:p>
    <w:p w14:paraId="1100A7DE">
      <w:r>
        <w:rPr>
          <w:b/>
          <w:bCs/>
        </w:rPr>
        <w:t>References</w:t>
      </w:r>
      <w:r>
        <w:t>:</w:t>
      </w:r>
      <w:r>
        <w:rPr>
          <w:i/>
          <w:iCs/>
        </w:rPr>
        <w:t xml:space="preserve"> </w:t>
      </w:r>
      <w:r>
        <w:rPr>
          <w:i/>
          <w:iCs/>
          <w:highlight w:val="lightGray"/>
        </w:rPr>
        <w:t>if any</w:t>
      </w:r>
    </w:p>
    <w:p w14:paraId="3B1AF788">
      <w:pPr>
        <w:rPr>
          <w:b/>
          <w:bCs/>
        </w:rPr>
      </w:pPr>
    </w:p>
    <w:p w14:paraId="48C5B0C2">
      <w:r>
        <w:rPr>
          <w:b/>
          <w:bCs/>
        </w:rPr>
        <w:t>Question 4.</w:t>
      </w:r>
      <w:r>
        <w:t xml:space="preserve"> Write your scenario (if applicable) and question here.</w:t>
      </w:r>
    </w:p>
    <w:p w14:paraId="085C4B5C">
      <w:r>
        <w:t>a) First answer option</w:t>
      </w:r>
    </w:p>
    <w:p w14:paraId="57C3AC63">
      <w:r>
        <w:t>b) Second answer option</w:t>
      </w:r>
    </w:p>
    <w:p w14:paraId="08B93300">
      <w:r>
        <w:t>c) Third answer option</w:t>
      </w:r>
    </w:p>
    <w:p w14:paraId="43E64318">
      <w:r>
        <w:t>d) Fourth answer option</w:t>
      </w:r>
    </w:p>
    <w:p w14:paraId="73A8BD1E">
      <w:r>
        <w:t>e) Fifth answer option</w:t>
      </w:r>
    </w:p>
    <w:p w14:paraId="07F531DB">
      <w:pPr>
        <w:rPr>
          <w:i/>
          <w:iCs/>
          <w:color w:val="FF0000"/>
        </w:rPr>
      </w:pPr>
      <w:r>
        <w:rPr>
          <w:b/>
          <w:bCs/>
        </w:rPr>
        <w:t>Answer:</w:t>
      </w:r>
      <w:r>
        <w:t xml:space="preserve"> The correct answer is </w:t>
      </w:r>
      <w:r>
        <w:rPr>
          <w:b/>
          <w:bCs/>
        </w:rPr>
        <w:t xml:space="preserve">A/B/C/D/E </w:t>
      </w:r>
      <w:r>
        <w:rPr>
          <w:i/>
          <w:iCs/>
          <w:highlight w:val="lightGray"/>
        </w:rPr>
        <w:t>Note to authors: delete as appropriate</w:t>
      </w:r>
    </w:p>
    <w:p w14:paraId="64865A33">
      <w:r>
        <w:rPr>
          <w:b/>
          <w:bCs/>
        </w:rPr>
        <w:t>Explanation:</w:t>
      </w:r>
      <w:r>
        <w:t xml:space="preserve"> Write here the explanation of the correct answer.</w:t>
      </w:r>
    </w:p>
    <w:p w14:paraId="1496E9BC">
      <w:r>
        <w:rPr>
          <w:b/>
          <w:bCs/>
        </w:rPr>
        <w:t>References</w:t>
      </w:r>
      <w:r>
        <w:t>:</w:t>
      </w:r>
      <w:r>
        <w:rPr>
          <w:i/>
          <w:iCs/>
        </w:rPr>
        <w:t xml:space="preserve"> </w:t>
      </w:r>
      <w:r>
        <w:rPr>
          <w:i/>
          <w:iCs/>
          <w:highlight w:val="lightGray"/>
        </w:rPr>
        <w:t>if any</w:t>
      </w:r>
    </w:p>
    <w:p w14:paraId="4C77CE70"/>
    <w:p w14:paraId="2B378D95">
      <w:r>
        <w:rPr>
          <w:b/>
          <w:bCs/>
        </w:rPr>
        <w:t>Question 5.</w:t>
      </w:r>
      <w:r>
        <w:t xml:space="preserve"> Write your scenario (if applicable) and question here.</w:t>
      </w:r>
    </w:p>
    <w:p w14:paraId="21086D3C">
      <w:r>
        <w:t>a) First answer option</w:t>
      </w:r>
    </w:p>
    <w:p w14:paraId="5B5353CA">
      <w:r>
        <w:t>b) Second answer option</w:t>
      </w:r>
    </w:p>
    <w:p w14:paraId="26C240AE">
      <w:r>
        <w:t>c) Third answer option</w:t>
      </w:r>
    </w:p>
    <w:p w14:paraId="053813F4">
      <w:r>
        <w:t>d) Fourth answer option</w:t>
      </w:r>
    </w:p>
    <w:p w14:paraId="536228B8">
      <w:r>
        <w:t>e) Fifth answer option</w:t>
      </w:r>
    </w:p>
    <w:p w14:paraId="4634A357">
      <w:pPr>
        <w:rPr>
          <w:i/>
          <w:iCs/>
          <w:color w:val="FF0000"/>
        </w:rPr>
      </w:pPr>
      <w:r>
        <w:rPr>
          <w:b/>
          <w:bCs/>
        </w:rPr>
        <w:t>Answer:</w:t>
      </w:r>
      <w:r>
        <w:t xml:space="preserve"> The correct answer is </w:t>
      </w:r>
      <w:r>
        <w:rPr>
          <w:b/>
          <w:bCs/>
        </w:rPr>
        <w:t xml:space="preserve">A/B/C/D/E </w:t>
      </w:r>
      <w:r>
        <w:rPr>
          <w:i/>
          <w:iCs/>
          <w:highlight w:val="lightGray"/>
        </w:rPr>
        <w:t>Note to authors: delete as appropriate</w:t>
      </w:r>
    </w:p>
    <w:p w14:paraId="6C6B2010">
      <w:r>
        <w:rPr>
          <w:b/>
          <w:bCs/>
        </w:rPr>
        <w:t>Explanation:</w:t>
      </w:r>
      <w:r>
        <w:t xml:space="preserve"> Write here the explanation of the correct answer.</w:t>
      </w:r>
    </w:p>
    <w:p w14:paraId="7C919627">
      <w:r>
        <w:rPr>
          <w:b/>
          <w:bCs/>
        </w:rPr>
        <w:t>References</w:t>
      </w:r>
      <w:r>
        <w:t>:</w:t>
      </w:r>
      <w:r>
        <w:rPr>
          <w:i/>
          <w:iCs/>
        </w:rPr>
        <w:t xml:space="preserve"> </w:t>
      </w:r>
      <w:r>
        <w:rPr>
          <w:i/>
          <w:iCs/>
          <w:highlight w:val="lightGray"/>
        </w:rPr>
        <w:t>if any</w:t>
      </w:r>
    </w:p>
    <w:p w14:paraId="7921EA52">
      <w:pPr>
        <w:rPr>
          <w:rFonts w:eastAsia="等线"/>
          <w:lang w:eastAsia="zh-CN"/>
        </w:rPr>
      </w:pPr>
      <w:r>
        <w:rPr>
          <w:rFonts w:eastAsia="等线"/>
          <w:lang w:eastAsia="zh-CN"/>
        </w:rPr>
        <w:br w:type="page"/>
      </w:r>
    </w:p>
    <w:p w14:paraId="78126966">
      <w:pPr>
        <w:numPr>
          <w:ilvl w:val="0"/>
          <w:numId w:val="7"/>
        </w:numPr>
        <w:ind w:left="420" w:leftChars="0" w:hanging="420" w:firstLineChars="0"/>
        <w:outlineLvl w:val="0"/>
        <w:rPr>
          <w:rFonts w:hint="default" w:eastAsia="等线"/>
          <w:b/>
          <w:bCs/>
          <w:sz w:val="32"/>
          <w:szCs w:val="36"/>
          <w:lang w:val="en-US" w:eastAsia="zh-CN"/>
        </w:rPr>
      </w:pPr>
      <w:r>
        <w:rPr>
          <w:rFonts w:hint="eastAsia" w:eastAsia="等线"/>
          <w:b/>
          <w:bCs/>
          <w:sz w:val="32"/>
          <w:szCs w:val="36"/>
          <w:lang w:val="en-US" w:eastAsia="zh-CN"/>
        </w:rPr>
        <w:t>内科学样例</w:t>
      </w:r>
    </w:p>
    <w:p w14:paraId="0AD1DA49">
      <w:pPr>
        <w:rPr>
          <w:rFonts w:eastAsia="等线"/>
          <w:b/>
          <w:bCs/>
          <w:sz w:val="32"/>
          <w:szCs w:val="36"/>
          <w:lang w:eastAsia="zh-CN"/>
        </w:rPr>
      </w:pPr>
      <w:r>
        <w:rPr>
          <w:rFonts w:eastAsia="等线"/>
          <w:b/>
          <w:bCs/>
          <w:sz w:val="32"/>
          <w:szCs w:val="36"/>
          <w:lang w:eastAsia="zh-CN"/>
        </w:rPr>
        <w:t>Internal Medicine</w:t>
      </w:r>
      <w:r>
        <w:rPr>
          <w:rFonts w:hint="eastAsia" w:eastAsia="等线"/>
          <w:b/>
          <w:bCs/>
          <w:sz w:val="32"/>
          <w:szCs w:val="36"/>
          <w:lang w:eastAsia="zh-CN"/>
        </w:rPr>
        <w:t>：</w:t>
      </w:r>
    </w:p>
    <w:p w14:paraId="11F532EE">
      <w:pPr>
        <w:rPr>
          <w:rFonts w:eastAsia="等线"/>
          <w:b/>
          <w:bCs/>
          <w:sz w:val="28"/>
          <w:szCs w:val="32"/>
          <w:lang w:eastAsia="zh-CN"/>
        </w:rPr>
      </w:pPr>
      <w:r>
        <w:rPr>
          <w:rFonts w:eastAsia="等线"/>
          <w:b/>
          <w:bCs/>
          <w:sz w:val="28"/>
          <w:szCs w:val="32"/>
          <w:lang w:eastAsia="zh-CN"/>
        </w:rPr>
        <w:t>Endocrine &amp; Hormonal &gt; Type 2 Diabetes Diagnosis and Management</w:t>
      </w:r>
    </w:p>
    <w:p w14:paraId="2A37DDB1">
      <w:pPr>
        <w:pStyle w:val="10"/>
      </w:pPr>
      <w:r>
        <w:t xml:space="preserve">Author(s) </w:t>
      </w:r>
      <w:r>
        <w:rPr>
          <w:b w:val="0"/>
          <w:bCs/>
          <w:i/>
          <w:iCs/>
          <w:highlight w:val="lightGray"/>
        </w:rPr>
        <w:t>(how it should appear online, in the order given/middle/family name)</w:t>
      </w:r>
      <w:r>
        <w:t>: Eugene C. Toy; Gabriel M. Aisenberg</w:t>
      </w:r>
    </w:p>
    <w:p w14:paraId="3C4093B6">
      <w:pPr>
        <w:pStyle w:val="10"/>
      </w:pPr>
      <w:r>
        <w:t xml:space="preserve">Region: </w:t>
      </w:r>
      <w:sdt>
        <w:sdtPr>
          <w:id w:val="-141508059"/>
          <w:placeholder>
            <w:docPart w:val="51F178CF593E45BCA0FF9A3B4816E095"/>
          </w:placeholder>
          <w:dropDownList>
            <w:listItem w:displayText="Australia/New Zealand" w:value="Australia/New Zealand"/>
            <w:listItem w:displayText="Colombia" w:value="Colombia"/>
            <w:listItem w:displayText="Egypt" w:value="Egypt"/>
            <w:listItem w:displayText="India" w:value="India"/>
            <w:listItem w:displayText="Indonesia" w:value="Indonesia"/>
            <w:listItem w:displayText="Lebanon" w:value="Lebanon"/>
            <w:listItem w:displayText="Mexico" w:value="Mexico"/>
            <w:listItem w:displayText="Middle East" w:value="Middle East"/>
            <w:listItem w:displayText="Saudi Arabia" w:value="Saudi Arabia"/>
            <w:listItem w:displayText="South Africa" w:value="South Africa"/>
            <w:listItem w:displayText="Southeast Asia" w:value="Southeast Asia"/>
            <w:listItem w:displayText="United Kingdom" w:value="United Kingdom"/>
          </w:dropDownList>
        </w:sdtPr>
        <w:sdtContent>
          <w:r>
            <w:t>United Kingdom</w:t>
          </w:r>
        </w:sdtContent>
      </w:sdt>
    </w:p>
    <w:p w14:paraId="146F80BD">
      <w:pPr>
        <w:pStyle w:val="10"/>
      </w:pPr>
      <w:r>
        <w:rPr>
          <w:highlight w:val="lightGray"/>
        </w:rPr>
        <w:t>Illness/disease:</w:t>
      </w:r>
      <w:r>
        <w:t xml:space="preserve"> Type 2 Diabetes</w:t>
      </w:r>
    </w:p>
    <w:p w14:paraId="14AAA16A">
      <w:pPr>
        <w:pStyle w:val="10"/>
      </w:pPr>
      <w:r>
        <w:t xml:space="preserve">Topic: </w:t>
      </w:r>
      <w:sdt>
        <w:sdtPr>
          <w:id w:val="1648467563"/>
          <w:placeholder>
            <w:docPart w:val="0CB18A0277CE4CA8BC9FFEBBEC7E6394"/>
          </w:placeholder>
          <w:dropDownList>
            <w:listItem w:displayText="Anaesthesia" w:value="Anaesthesia"/>
            <w:listItem w:displayText="Cardiovascular System" w:value="Cardiovascular System"/>
            <w:listItem w:displayText="Dermatology" w:value="Dermatology"/>
            <w:listItem w:displayText="Developmental Disorders" w:value="Developmental Disorders"/>
            <w:listItem w:displayText="Ears, Nose and Throat" w:value="Ears, Nose and Throat"/>
            <w:listItem w:displayText="Endocrine System and Metabolism" w:value="Endocrine System and Metabolism"/>
            <w:listItem w:displayText="Gastrointestinal System" w:value="Gastrointestinal System"/>
            <w:listItem w:displayText="Genitourinary System" w:value="Genitourinary System"/>
            <w:listItem w:displayText="Geriatrics" w:value="Geriatrics"/>
            <w:listItem w:displayText="Haematology" w:value="Haematology"/>
            <w:listItem w:displayText="Immune System" w:value="Immune System"/>
            <w:listItem w:displayText="Infectious Diseases" w:value="Infectious Diseases"/>
            <w:listItem w:displayText="Mental Health" w:value="Mental Health"/>
            <w:listItem w:displayText="Musculoskeletal System" w:value="Musculoskeletal System"/>
            <w:listItem w:displayText="Nervous System" w:value="Nervous System"/>
            <w:listItem w:displayText="Obstetrics and Gynaecology" w:value="Obstetrics and Gynaecology"/>
            <w:listItem w:displayText="Occupational Medicine" w:value="Occupational Medicine"/>
            <w:listItem w:displayText="Oncology" w:value="Oncology"/>
            <w:listItem w:displayText="Ophthalmology" w:value="Ophthalmology"/>
            <w:listItem w:displayText="Palliative Care" w:value="Palliative Care"/>
            <w:listItem w:displayText="Pharmacology" w:value="Pharmacology"/>
            <w:listItem w:displayText="Preventive Health" w:value="Preventive Health"/>
            <w:listItem w:displayText="Respiratory System" w:value="Respiratory System"/>
            <w:listItem w:displayText="Toxicology and Toxinology" w:value="Toxicology and Toxinology"/>
            <w:listItem w:displayText="Trauma and Environmental Health" w:value="Trauma and Environmental Health"/>
            <w:listItem w:displayText="Travel Medicine" w:value="Travel Medicine"/>
          </w:dropDownList>
        </w:sdtPr>
        <w:sdtContent>
          <w:r>
            <w:t>Endocrine System and Metabolism</w:t>
          </w:r>
        </w:sdtContent>
      </w:sdt>
    </w:p>
    <w:p w14:paraId="70FF0F4F">
      <w:pPr>
        <w:pStyle w:val="10"/>
      </w:pPr>
      <w:r>
        <w:t xml:space="preserve">Setting: </w:t>
      </w:r>
      <w:sdt>
        <w:sdtPr>
          <w:id w:val="-973364484"/>
          <w:placeholder>
            <w:docPart w:val="4ECD73562D344421B82F0D18BD2D58D8"/>
          </w:placeholder>
          <w:dropDownList>
            <w:listItem w:displayText="Emergency Care" w:value="Emergency Care"/>
            <w:listItem w:displayText="Primary Care" w:value="Primary Care"/>
            <w:listItem w:displayText="Secondary Care" w:value="Secondary Care"/>
          </w:dropDownList>
        </w:sdtPr>
        <w:sdtContent>
          <w:r>
            <w:t>Primary Care</w:t>
          </w:r>
        </w:sdtContent>
      </w:sdt>
    </w:p>
    <w:p w14:paraId="03FB458F">
      <w:pPr>
        <w:pStyle w:val="10"/>
      </w:pPr>
      <w:r>
        <w:t xml:space="preserve">Patient Age: </w:t>
      </w:r>
      <w:sdt>
        <w:sdtPr>
          <w:id w:val="56752126"/>
          <w:placeholder>
            <w:docPart w:val="4ECD73562D344421B82F0D18BD2D58D8"/>
          </w:placeholder>
          <w:dropDownList>
            <w:listItem w:displayText="Child (&lt;18 years)" w:value="Child (&lt;18 years)"/>
            <w:listItem w:displayText="Adult (18+ years)" w:value="Adult (18+ years)"/>
          </w:dropDownList>
        </w:sdtPr>
        <w:sdtContent>
          <w:r>
            <w:t>Adult (18+ years)</w:t>
          </w:r>
        </w:sdtContent>
      </w:sdt>
    </w:p>
    <w:p w14:paraId="59A83C2A">
      <w:pPr>
        <w:pStyle w:val="10"/>
        <w:spacing w:line="240" w:lineRule="auto"/>
      </w:pPr>
      <w:r>
        <w:t xml:space="preserve">Level: </w:t>
      </w:r>
      <w:sdt>
        <w:sdtPr>
          <w:id w:val="1165282863"/>
          <w:placeholder>
            <w:docPart w:val="C0FDD6AD05FE46D5B454D24689CCEF9F"/>
          </w:placeholder>
          <w:dropDownList>
            <w:listItem w:displayText="Medical Students" w:value="Medical Students"/>
            <w:listItem w:displayText="Junior Doctors" w:value="Junior Doctors"/>
            <w:listItem w:displayText="Qualified Practitioners" w:value="Qualified Practitioners"/>
          </w:dropDownList>
        </w:sdtPr>
        <w:sdtContent>
          <w:r>
            <w:t>Medical Students</w:t>
          </w:r>
        </w:sdtContent>
      </w:sdt>
    </w:p>
    <w:p w14:paraId="2BFF2ABE">
      <w:pPr>
        <w:spacing w:line="360" w:lineRule="auto"/>
        <w:rPr>
          <w:rFonts w:eastAsia="等线"/>
          <w:szCs w:val="20"/>
          <w:lang w:eastAsia="zh-CN"/>
        </w:rPr>
      </w:pPr>
      <w:r>
        <w:rPr>
          <w:rFonts w:eastAsia="等线"/>
          <w:szCs w:val="20"/>
          <w:lang w:eastAsia="zh-CN"/>
        </w:rPr>
        <w:t>A 52-year-old woman who presents for her yearly physical examination. She has been doing well and has no complaints today. Her medical history is notable only for borderline hypertension and moderate obesity. Last year, her fasting lipid profile was acceptable for someone without known risk factors for coronary artery disease. Her mother and older brother have diabetes and hypertension. At prior visits, you see that your preceptor has counseled her on a low-calorie, low-fat diet and recommended that she start an exercise program. However, the patient says she has not made any of these recommended changes. With her full-time job and three children, she finds it difficult to exercise, and she admits that her family eats out frequently. Today, her blood pressure is 140/92 mm Hg. Her body mass index (BMI) is 29 kg/m2. Her examination is notable for acanthosis nigricans at the neck but otherwise is normal. A Papanicolaou (Pap) smear is performed, and a mammogram is offered. The patient has not eaten yet today, so on your preceptor’s recommendation, a fasting plasma glucose test is performed, and the result is 140 mg/dL.</w:t>
      </w:r>
    </w:p>
    <w:p w14:paraId="07414E5B">
      <w:pPr>
        <w:spacing w:line="360" w:lineRule="auto"/>
        <w:rPr>
          <w:rFonts w:eastAsia="等线"/>
          <w:b/>
          <w:bCs/>
          <w:color w:val="FF0000"/>
          <w:szCs w:val="20"/>
          <w:lang w:eastAsia="zh-CN"/>
        </w:rPr>
      </w:pPr>
      <w:r>
        <w:rPr>
          <w:rFonts w:eastAsia="等线"/>
          <w:b/>
          <w:bCs/>
          <w:color w:val="FF0000"/>
          <w:szCs w:val="20"/>
          <w:lang w:eastAsia="zh-CN"/>
        </w:rPr>
        <w:t>Questions</w:t>
      </w:r>
    </w:p>
    <w:p w14:paraId="293BA197">
      <w:pPr>
        <w:spacing w:line="360" w:lineRule="auto"/>
        <w:rPr>
          <w:rFonts w:eastAsia="等线"/>
          <w:b/>
          <w:bCs/>
          <w:szCs w:val="20"/>
          <w:lang w:eastAsia="zh-CN"/>
        </w:rPr>
      </w:pPr>
      <w:r>
        <w:rPr>
          <w:rFonts w:eastAsia="等线"/>
          <w:b/>
          <w:bCs/>
          <w:szCs w:val="20"/>
          <w:lang w:eastAsia="zh-CN"/>
        </w:rPr>
        <w:t>What is the most likely diagnosis?</w:t>
      </w:r>
    </w:p>
    <w:p w14:paraId="211B7486">
      <w:pPr>
        <w:spacing w:line="360" w:lineRule="auto"/>
        <w:rPr>
          <w:rFonts w:eastAsia="等线"/>
          <w:b/>
          <w:bCs/>
          <w:szCs w:val="20"/>
          <w:lang w:eastAsia="zh-CN"/>
        </w:rPr>
      </w:pPr>
      <w:r>
        <w:rPr>
          <w:rFonts w:eastAsia="等线"/>
          <w:b/>
          <w:bCs/>
          <w:szCs w:val="20"/>
          <w:lang w:eastAsia="zh-CN"/>
        </w:rPr>
        <w:t>What is your next step?</w:t>
      </w:r>
    </w:p>
    <w:p w14:paraId="50C18FBB">
      <w:pPr>
        <w:spacing w:line="360" w:lineRule="auto"/>
        <w:rPr>
          <w:rFonts w:eastAsia="等线"/>
          <w:b/>
          <w:bCs/>
          <w:color w:val="FF0000"/>
          <w:szCs w:val="20"/>
          <w:lang w:eastAsia="zh-CN"/>
        </w:rPr>
      </w:pPr>
      <w:r>
        <w:rPr>
          <w:rFonts w:hint="eastAsia" w:eastAsia="等线"/>
          <w:b/>
          <w:bCs/>
          <w:color w:val="FF0000"/>
          <w:szCs w:val="20"/>
          <w:lang w:eastAsia="zh-CN"/>
        </w:rPr>
        <w:t>Answers</w:t>
      </w:r>
    </w:p>
    <w:p w14:paraId="01457728">
      <w:pPr>
        <w:spacing w:line="360" w:lineRule="auto"/>
        <w:rPr>
          <w:rFonts w:eastAsia="等线"/>
          <w:szCs w:val="20"/>
          <w:lang w:eastAsia="zh-CN"/>
        </w:rPr>
      </w:pPr>
      <w:r>
        <w:rPr>
          <w:rFonts w:eastAsia="等线"/>
          <w:szCs w:val="20"/>
          <w:lang w:eastAsia="zh-CN"/>
        </w:rPr>
        <w:t>Answers to Case 51: Type 2 Diabetes Diagnosis and Management</w:t>
      </w:r>
    </w:p>
    <w:p w14:paraId="469BAECA">
      <w:pPr>
        <w:spacing w:line="360" w:lineRule="auto"/>
        <w:rPr>
          <w:rFonts w:eastAsia="等线"/>
          <w:szCs w:val="20"/>
          <w:lang w:eastAsia="zh-CN"/>
        </w:rPr>
      </w:pPr>
      <w:r>
        <w:rPr>
          <w:rFonts w:eastAsia="等线"/>
          <w:b/>
          <w:bCs/>
          <w:szCs w:val="20"/>
          <w:lang w:eastAsia="zh-CN"/>
        </w:rPr>
        <w:t>Summary:</w:t>
      </w:r>
      <w:r>
        <w:rPr>
          <w:rFonts w:eastAsia="等线"/>
          <w:szCs w:val="20"/>
          <w:lang w:eastAsia="zh-CN"/>
        </w:rPr>
        <w:t xml:space="preserve"> A 52-year-old woman presents for her yearly physical examination with</w:t>
      </w:r>
    </w:p>
    <w:p w14:paraId="12085D83">
      <w:pPr>
        <w:pStyle w:val="24"/>
        <w:numPr>
          <w:ilvl w:val="0"/>
          <w:numId w:val="8"/>
        </w:numPr>
        <w:spacing w:line="360" w:lineRule="auto"/>
        <w:rPr>
          <w:rFonts w:eastAsia="等线"/>
          <w:szCs w:val="20"/>
          <w:lang w:eastAsia="zh-CN"/>
        </w:rPr>
      </w:pPr>
      <w:r>
        <w:rPr>
          <w:rFonts w:eastAsia="等线"/>
          <w:szCs w:val="20"/>
          <w:lang w:eastAsia="zh-CN"/>
        </w:rPr>
        <w:t>Medical history notable only for borderline hypertension and moderate obesity</w:t>
      </w:r>
    </w:p>
    <w:p w14:paraId="7B331D82">
      <w:pPr>
        <w:pStyle w:val="24"/>
        <w:numPr>
          <w:ilvl w:val="0"/>
          <w:numId w:val="8"/>
        </w:numPr>
        <w:spacing w:line="360" w:lineRule="auto"/>
        <w:rPr>
          <w:rFonts w:eastAsia="等线"/>
          <w:szCs w:val="20"/>
          <w:lang w:eastAsia="zh-CN"/>
        </w:rPr>
      </w:pPr>
      <w:r>
        <w:rPr>
          <w:rFonts w:eastAsia="等线"/>
          <w:szCs w:val="20"/>
          <w:lang w:eastAsia="zh-CN"/>
        </w:rPr>
        <w:t>Family history of diabetes and hypertension</w:t>
      </w:r>
    </w:p>
    <w:p w14:paraId="61217404">
      <w:pPr>
        <w:pStyle w:val="24"/>
        <w:numPr>
          <w:ilvl w:val="0"/>
          <w:numId w:val="8"/>
        </w:numPr>
        <w:spacing w:line="360" w:lineRule="auto"/>
        <w:rPr>
          <w:rFonts w:eastAsia="等线"/>
          <w:szCs w:val="20"/>
          <w:lang w:eastAsia="zh-CN"/>
        </w:rPr>
      </w:pPr>
      <w:r>
        <w:rPr>
          <w:rFonts w:eastAsia="等线"/>
          <w:szCs w:val="20"/>
          <w:lang w:eastAsia="zh-CN"/>
        </w:rPr>
        <w:t>Poor adherence to the recommended lifestyle changes</w:t>
      </w:r>
    </w:p>
    <w:p w14:paraId="72D4C8CF">
      <w:pPr>
        <w:pStyle w:val="24"/>
        <w:numPr>
          <w:ilvl w:val="0"/>
          <w:numId w:val="8"/>
        </w:numPr>
        <w:spacing w:line="360" w:lineRule="auto"/>
        <w:rPr>
          <w:rFonts w:eastAsia="等线"/>
          <w:szCs w:val="20"/>
          <w:lang w:eastAsia="zh-CN"/>
        </w:rPr>
      </w:pPr>
      <w:r>
        <w:rPr>
          <w:rFonts w:eastAsia="等线"/>
          <w:szCs w:val="20"/>
          <w:lang w:eastAsia="zh-CN"/>
        </w:rPr>
        <w:t>Blood pressure of 140/92 mm Hg and BMI of 29 kg/m2</w:t>
      </w:r>
    </w:p>
    <w:p w14:paraId="789FFC0C">
      <w:pPr>
        <w:pStyle w:val="24"/>
        <w:numPr>
          <w:ilvl w:val="0"/>
          <w:numId w:val="8"/>
        </w:numPr>
        <w:spacing w:line="360" w:lineRule="auto"/>
        <w:rPr>
          <w:rFonts w:eastAsia="等线"/>
          <w:szCs w:val="20"/>
          <w:lang w:eastAsia="zh-CN"/>
        </w:rPr>
      </w:pPr>
      <w:r>
        <w:rPr>
          <w:rFonts w:eastAsia="等线"/>
          <w:szCs w:val="20"/>
          <w:lang w:eastAsia="zh-CN"/>
        </w:rPr>
        <w:t>Acanthosis nigricans at the neck, suggesting insulin resistance</w:t>
      </w:r>
    </w:p>
    <w:p w14:paraId="74826B60">
      <w:pPr>
        <w:pStyle w:val="24"/>
        <w:numPr>
          <w:ilvl w:val="0"/>
          <w:numId w:val="8"/>
        </w:numPr>
        <w:spacing w:line="360" w:lineRule="auto"/>
        <w:rPr>
          <w:rFonts w:eastAsia="等线"/>
          <w:szCs w:val="20"/>
          <w:lang w:eastAsia="zh-CN"/>
        </w:rPr>
      </w:pPr>
      <w:r>
        <w:rPr>
          <w:rFonts w:eastAsia="等线"/>
          <w:szCs w:val="20"/>
          <w:lang w:eastAsia="zh-CN"/>
        </w:rPr>
        <w:t>Fasting plasma glucose level of 140 mg/dL, consistent with diabetes mellitus</w:t>
      </w:r>
    </w:p>
    <w:p w14:paraId="1B567F65">
      <w:pPr>
        <w:spacing w:line="360" w:lineRule="auto"/>
        <w:rPr>
          <w:rFonts w:eastAsia="等线"/>
          <w:szCs w:val="20"/>
          <w:lang w:eastAsia="zh-CN"/>
        </w:rPr>
      </w:pPr>
      <w:r>
        <w:rPr>
          <w:rFonts w:eastAsia="等线"/>
          <w:b/>
          <w:bCs/>
          <w:szCs w:val="20"/>
          <w:lang w:eastAsia="zh-CN"/>
        </w:rPr>
        <w:t>Most likely diagnosis</w:t>
      </w:r>
      <w:r>
        <w:rPr>
          <w:rFonts w:eastAsia="等线"/>
          <w:szCs w:val="20"/>
          <w:lang w:eastAsia="zh-CN"/>
        </w:rPr>
        <w:t>: Given her obesity, family history, and the finding of acanthosis nigricans, this patient most likely has type 2 diabetes. Diagnostic criteria for diabetes as defined by the American Diabetes Association (ADA) include (1) hemoglobin A1C greater than 6.5%, (2) fasting plasma glucose of 126 mg/dL or greater, (3) 2-hour plasma glucose of 200 mg/dL or greater during oral glucose tolerance test, or (4) a random plasma glucose of 200 mg/dL in the setting of hyperglycemic symptoms.</w:t>
      </w:r>
    </w:p>
    <w:p w14:paraId="2ADFC9F0">
      <w:pPr>
        <w:spacing w:line="360" w:lineRule="auto"/>
        <w:rPr>
          <w:rFonts w:eastAsia="等线"/>
          <w:szCs w:val="20"/>
          <w:lang w:eastAsia="zh-CN"/>
        </w:rPr>
      </w:pPr>
      <w:r>
        <w:rPr>
          <w:rFonts w:eastAsia="等线"/>
          <w:b/>
          <w:bCs/>
          <w:szCs w:val="20"/>
          <w:lang w:eastAsia="zh-CN"/>
        </w:rPr>
        <w:t>Next step:</w:t>
      </w:r>
      <w:r>
        <w:rPr>
          <w:rFonts w:eastAsia="等线"/>
          <w:szCs w:val="20"/>
          <w:lang w:eastAsia="zh-CN"/>
        </w:rPr>
        <w:t xml:space="preserve"> Dietary counseling, assess for end-organ disease, and check hemoglobin A1C (Hb A1C).</w:t>
      </w:r>
    </w:p>
    <w:p w14:paraId="134877F3">
      <w:pPr>
        <w:spacing w:line="360" w:lineRule="auto"/>
        <w:rPr>
          <w:rFonts w:eastAsia="等线"/>
          <w:b/>
          <w:bCs/>
          <w:szCs w:val="20"/>
          <w:lang w:eastAsia="zh-CN"/>
        </w:rPr>
      </w:pPr>
      <w:r>
        <w:rPr>
          <w:rFonts w:eastAsia="等线"/>
          <w:b/>
          <w:bCs/>
          <w:szCs w:val="20"/>
          <w:lang w:eastAsia="zh-CN"/>
        </w:rPr>
        <w:t>Analysis</w:t>
      </w:r>
    </w:p>
    <w:p w14:paraId="452D9E97">
      <w:pPr>
        <w:spacing w:line="360" w:lineRule="auto"/>
        <w:rPr>
          <w:rFonts w:eastAsia="等线"/>
          <w:szCs w:val="20"/>
          <w:lang w:eastAsia="zh-CN"/>
        </w:rPr>
      </w:pPr>
      <w:r>
        <w:rPr>
          <w:rFonts w:eastAsia="等线"/>
          <w:szCs w:val="20"/>
          <w:lang w:eastAsia="zh-CN"/>
        </w:rPr>
        <w:t>Objectives</w:t>
      </w:r>
    </w:p>
    <w:p w14:paraId="1B1F6407">
      <w:pPr>
        <w:spacing w:line="360" w:lineRule="auto"/>
        <w:rPr>
          <w:rFonts w:eastAsia="等线"/>
          <w:szCs w:val="20"/>
          <w:lang w:eastAsia="zh-CN"/>
        </w:rPr>
      </w:pPr>
      <w:r>
        <w:rPr>
          <w:rFonts w:eastAsia="等线"/>
          <w:szCs w:val="20"/>
          <w:lang w:eastAsia="zh-CN"/>
        </w:rPr>
        <w:t>Recognize the diagnostic criteria for type 2 diabetes. (EPA 3)</w:t>
      </w:r>
    </w:p>
    <w:p w14:paraId="1221FD29">
      <w:pPr>
        <w:spacing w:line="360" w:lineRule="auto"/>
        <w:rPr>
          <w:rFonts w:eastAsia="等线"/>
          <w:szCs w:val="20"/>
          <w:lang w:eastAsia="zh-CN"/>
        </w:rPr>
      </w:pPr>
      <w:r>
        <w:rPr>
          <w:rFonts w:eastAsia="等线"/>
          <w:szCs w:val="20"/>
          <w:lang w:eastAsia="zh-CN"/>
        </w:rPr>
        <w:t>Describe the initial medical management of diabetes. (EPA 4)</w:t>
      </w:r>
    </w:p>
    <w:p w14:paraId="56FD2E58">
      <w:pPr>
        <w:spacing w:line="360" w:lineRule="auto"/>
        <w:rPr>
          <w:rFonts w:eastAsia="等线"/>
          <w:szCs w:val="20"/>
          <w:lang w:eastAsia="zh-CN"/>
        </w:rPr>
      </w:pPr>
      <w:r>
        <w:rPr>
          <w:rFonts w:eastAsia="等线"/>
          <w:szCs w:val="20"/>
          <w:lang w:eastAsia="zh-CN"/>
        </w:rPr>
        <w:t>Understand cardiovascular risk modification in diabetic patients. (EPA 4, 12)</w:t>
      </w:r>
    </w:p>
    <w:p w14:paraId="5AE717AC">
      <w:pPr>
        <w:spacing w:line="360" w:lineRule="auto"/>
        <w:rPr>
          <w:rFonts w:eastAsia="等线"/>
          <w:szCs w:val="20"/>
          <w:lang w:eastAsia="zh-CN"/>
        </w:rPr>
      </w:pPr>
      <w:r>
        <w:rPr>
          <w:rFonts w:eastAsia="等线"/>
          <w:szCs w:val="20"/>
          <w:lang w:eastAsia="zh-CN"/>
        </w:rPr>
        <w:t>Understand the prevention of microvascular complications of diabetes. (EPA 12)</w:t>
      </w:r>
    </w:p>
    <w:p w14:paraId="593C0617">
      <w:pPr>
        <w:spacing w:line="360" w:lineRule="auto"/>
        <w:rPr>
          <w:rFonts w:eastAsia="等线"/>
          <w:szCs w:val="20"/>
          <w:lang w:eastAsia="zh-CN"/>
        </w:rPr>
      </w:pPr>
      <w:r>
        <w:rPr>
          <w:rFonts w:eastAsia="等线"/>
          <w:szCs w:val="20"/>
          <w:lang w:eastAsia="zh-CN"/>
        </w:rPr>
        <w:t>Considerations</w:t>
      </w:r>
    </w:p>
    <w:p w14:paraId="00E109EB">
      <w:pPr>
        <w:spacing w:line="360" w:lineRule="auto"/>
        <w:rPr>
          <w:rFonts w:eastAsia="等线"/>
          <w:szCs w:val="20"/>
          <w:lang w:eastAsia="zh-CN"/>
        </w:rPr>
      </w:pPr>
      <w:r>
        <w:rPr>
          <w:rFonts w:eastAsia="等线"/>
          <w:szCs w:val="20"/>
          <w:lang w:eastAsia="zh-CN"/>
        </w:rPr>
        <w:t>This patient has a diagnosis of diabetes mellitus unless there was a laboratory error (patient not truly fasting). If this patient’s diagnosis of diabetes is confirmed, she will require patient education, lifestyle modification, and medical therapy to prevent acute and chronic complications of diabetes. Strict glycemic control can reduce the incidence of microvascular complications such as retinopathy and nephropathy. In addition, patients with diabetes are among the highest at risk for cardiovascular disease, so risk factor modifications, such as smoking cessation and lowering of cholesterol, are essential. Diabetes confers the same level of risk for coronary events, such as heart attack, as in patients with established coronary artery disease and no prior diabetes. In patients with diabetes, the target blood pressure is generally less than 130/80 mm Hg, and the percentage of low-density lipoprotein (LDL) cholesterol lowering should be based on the calculated atherosclerotic cardiovascular disease risk.</w:t>
      </w:r>
    </w:p>
    <w:p w14:paraId="0B1B71DC">
      <w:pPr>
        <w:spacing w:line="360" w:lineRule="auto"/>
        <w:rPr>
          <w:rFonts w:eastAsia="等线"/>
          <w:b/>
          <w:bCs/>
          <w:color w:val="FF0000"/>
          <w:szCs w:val="20"/>
          <w:lang w:eastAsia="zh-CN"/>
        </w:rPr>
      </w:pPr>
      <w:r>
        <w:rPr>
          <w:rFonts w:eastAsia="等线"/>
          <w:b/>
          <w:bCs/>
          <w:color w:val="FF0000"/>
          <w:szCs w:val="20"/>
          <w:lang w:eastAsia="zh-CN"/>
        </w:rPr>
        <w:t>Clinical Approach</w:t>
      </w:r>
    </w:p>
    <w:p w14:paraId="2DAEA813">
      <w:pPr>
        <w:spacing w:line="360" w:lineRule="auto"/>
        <w:rPr>
          <w:rFonts w:eastAsia="等线"/>
          <w:b/>
          <w:bCs/>
          <w:szCs w:val="20"/>
          <w:lang w:eastAsia="zh-CN"/>
        </w:rPr>
      </w:pPr>
      <w:r>
        <w:rPr>
          <w:rFonts w:eastAsia="等线"/>
          <w:b/>
          <w:bCs/>
          <w:szCs w:val="20"/>
          <w:lang w:eastAsia="zh-CN"/>
        </w:rPr>
        <w:t>Definitions</w:t>
      </w:r>
    </w:p>
    <w:p w14:paraId="2072BD24">
      <w:pPr>
        <w:tabs>
          <w:tab w:val="left" w:pos="720"/>
        </w:tabs>
        <w:spacing w:line="360" w:lineRule="auto"/>
        <w:rPr>
          <w:rFonts w:eastAsia="等线"/>
          <w:szCs w:val="20"/>
          <w:lang w:eastAsia="zh-CN"/>
        </w:rPr>
      </w:pPr>
      <w:bookmarkStart w:id="0" w:name="251048168"/>
      <w:bookmarkEnd w:id="0"/>
      <w:bookmarkStart w:id="1" w:name="251048169"/>
      <w:bookmarkEnd w:id="1"/>
      <w:r>
        <w:rPr>
          <w:rFonts w:eastAsia="等线"/>
          <w:szCs w:val="20"/>
          <w:lang w:eastAsia="zh-CN"/>
        </w:rPr>
        <w:t>TYPE 1 DIABETES: Autoimmune destruction of the pancreatic beta cells and complete loss of endogenous insulin production. The presentation of this type of diabetes usually is acute, with hyperglycemia and metabolic acidosis. These patients are dependent on exogenous insulin delivery.</w:t>
      </w:r>
    </w:p>
    <w:p w14:paraId="6CCED88E">
      <w:pPr>
        <w:tabs>
          <w:tab w:val="left" w:pos="720"/>
        </w:tabs>
        <w:spacing w:line="360" w:lineRule="auto"/>
        <w:rPr>
          <w:rFonts w:eastAsia="等线"/>
          <w:szCs w:val="20"/>
          <w:lang w:eastAsia="zh-CN"/>
        </w:rPr>
      </w:pPr>
      <w:r>
        <w:rPr>
          <w:rFonts w:eastAsia="等线"/>
          <w:szCs w:val="20"/>
          <w:lang w:eastAsia="zh-CN"/>
        </w:rPr>
        <w:t>TYPE 2 DIABETES: Heterogeneous syndrome consisting of insulin resistance, progressively decreased insulin secretion, increased hepatic gluconeogenesis, and multiple other defects; it is exacerbated by genetic factors, obesity, and/or lack of physical activity. Oral medications and injectable incretin mimetic drugs that address specific defects of type 2 diabetes are useful. Exogenous insulin may be used when oral drugs and incretin mimetic medications are no longer sufficient for adequate glycemic control.</w:t>
      </w:r>
    </w:p>
    <w:p w14:paraId="5656AE8E">
      <w:pPr>
        <w:spacing w:line="360" w:lineRule="auto"/>
        <w:rPr>
          <w:rFonts w:eastAsia="等线"/>
          <w:b/>
          <w:bCs/>
          <w:szCs w:val="20"/>
          <w:lang w:eastAsia="zh-CN"/>
        </w:rPr>
      </w:pPr>
      <w:r>
        <w:rPr>
          <w:rFonts w:eastAsia="等线"/>
          <w:b/>
          <w:bCs/>
          <w:szCs w:val="20"/>
          <w:lang w:eastAsia="zh-CN"/>
        </w:rPr>
        <w:t>Clinical Approach</w:t>
      </w:r>
    </w:p>
    <w:p w14:paraId="567357E0">
      <w:pPr>
        <w:spacing w:line="360" w:lineRule="auto"/>
        <w:rPr>
          <w:rFonts w:eastAsia="等线"/>
          <w:b/>
          <w:bCs/>
          <w:szCs w:val="20"/>
          <w:lang w:eastAsia="zh-CN"/>
        </w:rPr>
      </w:pPr>
      <w:bookmarkStart w:id="2" w:name="251048170"/>
      <w:bookmarkEnd w:id="2"/>
      <w:r>
        <w:rPr>
          <w:rFonts w:eastAsia="等线"/>
          <w:b/>
          <w:bCs/>
          <w:szCs w:val="20"/>
          <w:lang w:eastAsia="zh-CN"/>
        </w:rPr>
        <w:t>Epidemiology</w:t>
      </w:r>
    </w:p>
    <w:p w14:paraId="21FF017F">
      <w:pPr>
        <w:spacing w:line="360" w:lineRule="auto"/>
        <w:rPr>
          <w:rFonts w:eastAsia="等线"/>
          <w:szCs w:val="20"/>
          <w:lang w:eastAsia="zh-CN"/>
        </w:rPr>
      </w:pPr>
      <w:bookmarkStart w:id="3" w:name="251048171"/>
      <w:bookmarkEnd w:id="3"/>
      <w:bookmarkStart w:id="4" w:name="251048172"/>
      <w:bookmarkEnd w:id="4"/>
      <w:r>
        <w:rPr>
          <w:rFonts w:eastAsia="等线"/>
          <w:szCs w:val="20"/>
          <w:lang w:eastAsia="zh-CN"/>
        </w:rPr>
        <w:t>As the prevalence of obesity increases in the American population, so does the prevalence of type 2 diabetes. Ninety percent of all new cases of diabetes diagnosed in the United States are type 2, and it is estimated that this disease affects approximately 30.3 million people in the United States. Diabetes is the leading cause of blindness, renal failure, and nontraumatic amputations of the lower extremities. It is a major risk factor in patients with coronary artery disease, peripheral vascular disease, and stroke.</w:t>
      </w:r>
    </w:p>
    <w:p w14:paraId="4EE925CD">
      <w:pPr>
        <w:spacing w:line="360" w:lineRule="auto"/>
        <w:rPr>
          <w:rFonts w:eastAsia="等线"/>
          <w:szCs w:val="20"/>
          <w:lang w:eastAsia="zh-CN"/>
        </w:rPr>
      </w:pPr>
      <w:bookmarkStart w:id="5" w:name="251048173"/>
      <w:bookmarkEnd w:id="5"/>
      <w:r>
        <w:rPr>
          <w:rFonts w:eastAsia="等线"/>
          <w:szCs w:val="20"/>
          <w:lang w:eastAsia="zh-CN"/>
        </w:rPr>
        <w:t>In contrast to type 1 diabetics, patients with type 2 diabetes usually have a prolonged asymptomatic phase. During these years of asymptomatic hyperglycemia, however, organ damage begins to occur.</w:t>
      </w:r>
    </w:p>
    <w:p w14:paraId="615BF9F2">
      <w:pPr>
        <w:spacing w:line="360" w:lineRule="auto"/>
        <w:rPr>
          <w:rFonts w:eastAsia="等线"/>
          <w:szCs w:val="20"/>
          <w:lang w:eastAsia="zh-CN"/>
        </w:rPr>
      </w:pPr>
      <w:bookmarkStart w:id="6" w:name="251048174"/>
      <w:bookmarkEnd w:id="6"/>
      <w:r>
        <w:rPr>
          <w:rFonts w:eastAsia="等线"/>
          <w:szCs w:val="20"/>
          <w:lang w:eastAsia="zh-CN"/>
        </w:rPr>
        <w:t>Screening. The ADA recommends screening overweight and obese adults with one of the following risk factors: hypertension, HDL level below 35 mg/dL, hypertriglyceridemia above 250 mg/dL, first-degree relative with diabetes, being a member of a high-risk ethnic/race group (ie, African Americans, Hispanics, American Indians, Asian Americans, or Pacific Islanders), prediabetes, physical inactivity, history of gestational diabetes, history of cardiovascular disease, history of polycystic ovarian syndrome, or other insulin-resistant condition (eg, acanthosis nigricans, severe obesity).</w:t>
      </w:r>
    </w:p>
    <w:p w14:paraId="209095E7">
      <w:pPr>
        <w:spacing w:line="360" w:lineRule="auto"/>
        <w:rPr>
          <w:rFonts w:eastAsia="等线"/>
          <w:szCs w:val="20"/>
          <w:lang w:eastAsia="zh-CN"/>
        </w:rPr>
      </w:pPr>
      <w:bookmarkStart w:id="7" w:name="251048175"/>
      <w:bookmarkEnd w:id="7"/>
      <w:r>
        <w:rPr>
          <w:rFonts w:eastAsia="等线"/>
          <w:szCs w:val="20"/>
          <w:lang w:eastAsia="zh-CN"/>
        </w:rPr>
        <w:t>Repeat screening should be done at least yearly for prediabetes and at least every 3 years for a history of gestational diabetes. For all other adult patients, the ADA recommends screening start at age 45 with a minimum of 3-year intervals between tests. Older children and adolescents who are overweight/obese and exhibit an aforementioned risk factor should also be screened.</w:t>
      </w:r>
    </w:p>
    <w:p w14:paraId="65D3825A">
      <w:pPr>
        <w:spacing w:line="360" w:lineRule="auto"/>
        <w:rPr>
          <w:rFonts w:eastAsia="等线"/>
          <w:b/>
          <w:bCs/>
          <w:szCs w:val="20"/>
          <w:lang w:eastAsia="zh-CN"/>
        </w:rPr>
      </w:pPr>
      <w:r>
        <w:rPr>
          <w:rFonts w:eastAsia="等线"/>
          <w:b/>
          <w:bCs/>
          <w:szCs w:val="20"/>
          <w:lang w:eastAsia="zh-CN"/>
        </w:rPr>
        <w:t>Pathophysiology</w:t>
      </w:r>
    </w:p>
    <w:p w14:paraId="7E3CA2D0">
      <w:pPr>
        <w:spacing w:line="360" w:lineRule="auto"/>
        <w:rPr>
          <w:rFonts w:eastAsia="等线"/>
          <w:szCs w:val="20"/>
          <w:lang w:eastAsia="zh-CN"/>
        </w:rPr>
      </w:pPr>
      <w:bookmarkStart w:id="8" w:name="251048176"/>
      <w:bookmarkEnd w:id="8"/>
      <w:bookmarkStart w:id="9" w:name="251048177"/>
      <w:bookmarkEnd w:id="9"/>
      <w:r>
        <w:rPr>
          <w:rFonts w:eastAsia="等线"/>
          <w:szCs w:val="20"/>
          <w:lang w:eastAsia="zh-CN"/>
        </w:rPr>
        <w:t>Most patients with type 2 diabetes mellitus are insulin resistant and hyperinsulinemic for years before developing overt diabetes. They are able to maintain normoglycemia for a long time, then develop postprandial hyperglycemia and later both postprandial and fasting hyperglycemia (eg, hyperglycemia all the time). Thus, a glucose tolerance test to detect postprandial hyperglycemia would be the most sensitive test for diabetes mellitus, but it is time consuming and difficult to perform in a clinical practice. The fasting plasma glucose is a more specific test. Hemoglobin A1C &gt; 6.5% has now also been recognized as an acceptable diagnostic criterion (</w:t>
      </w:r>
      <w:r>
        <w:fldChar w:fldCharType="begin"/>
      </w:r>
      <w:r>
        <w:instrText xml:space="preserve"> HYPERLINK "https://casefiles.mhmedical.com/CaseContent.aspx?gbosID=553150&amp;gbosContainerID=248&amp;viewByNumber=false&amp;groupid=0" \l "toyim6_cs51tb1" </w:instrText>
      </w:r>
      <w:r>
        <w:fldChar w:fldCharType="separate"/>
      </w:r>
      <w:r>
        <w:rPr>
          <w:lang w:eastAsia="zh-CN"/>
        </w:rPr>
        <w:t>Table 51–1</w:t>
      </w:r>
      <w:r>
        <w:rPr>
          <w:lang w:eastAsia="zh-CN"/>
        </w:rPr>
        <w:fldChar w:fldCharType="end"/>
      </w:r>
      <w:r>
        <w:rPr>
          <w:rFonts w:eastAsia="等线"/>
          <w:szCs w:val="20"/>
          <w:lang w:eastAsia="zh-CN"/>
        </w:rPr>
        <w:t>). In the setting of hyperglycemia symptoms, a random plasma glucose above 200 mg/dL is enough for diagnosis. If there are no clear symptoms of hyperglycemia, the diagnosis of diabetes should be confirmed on a subsequent day by repeat measurement, repeating the same test for confirmation. However, if two different tests (eg, fasting glucose and A1C) are available and are concordant for the diagnosis of diabetes, additional testing is not needed.</w:t>
      </w:r>
    </w:p>
    <w:p w14:paraId="773F09E2">
      <w:pPr>
        <w:spacing w:line="360" w:lineRule="auto"/>
        <w:rPr>
          <w:rFonts w:eastAsia="等线"/>
          <w:b/>
          <w:bCs/>
          <w:szCs w:val="20"/>
          <w:lang w:eastAsia="zh-CN"/>
        </w:rPr>
      </w:pPr>
      <w:r>
        <w:rPr>
          <w:rFonts w:eastAsia="等线"/>
          <w:b/>
          <w:bCs/>
          <w:szCs w:val="20"/>
          <w:lang w:eastAsia="zh-CN"/>
        </w:rPr>
        <w:t>TESTS FOR DIAGNOSING DIABETES</w:t>
      </w:r>
    </w:p>
    <w:p w14:paraId="486B1AE9">
      <w:pPr>
        <w:spacing w:line="360" w:lineRule="auto"/>
        <w:rPr>
          <w:rFonts w:eastAsia="等线"/>
          <w:szCs w:val="20"/>
          <w:lang w:eastAsia="zh-CN"/>
        </w:rPr>
      </w:pPr>
      <w:bookmarkStart w:id="10" w:name="251048178"/>
      <w:bookmarkEnd w:id="10"/>
      <w:bookmarkStart w:id="11" w:name="toyim6_cs51tb1"/>
      <w:bookmarkEnd w:id="11"/>
      <w:r>
        <w:rPr>
          <w:rFonts w:eastAsia="等线"/>
          <w:szCs w:val="20"/>
          <w:lang w:eastAsia="zh-CN"/>
        </w:rPr>
        <w:t>Table 51–1TESTS FOR DIAGNOSING DIABETES</w:t>
      </w:r>
    </w:p>
    <w:p w14:paraId="56152BF0">
      <w:pPr>
        <w:spacing w:line="360" w:lineRule="auto"/>
        <w:rPr>
          <w:rFonts w:eastAsia="等线"/>
          <w:szCs w:val="20"/>
          <w:lang w:eastAsia="zh-CN"/>
        </w:rPr>
      </w:pPr>
      <w:r>
        <w:drawing>
          <wp:inline distT="0" distB="0" distL="0" distR="0">
            <wp:extent cx="5731510" cy="2240915"/>
            <wp:effectExtent l="0" t="0" r="2540" b="6985"/>
            <wp:docPr id="28775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75224" name="Picture 1"/>
                    <pic:cNvPicPr>
                      <a:picLocks noChangeAspect="1"/>
                    </pic:cNvPicPr>
                  </pic:nvPicPr>
                  <pic:blipFill>
                    <a:blip r:embed="rId6"/>
                    <a:stretch>
                      <a:fillRect/>
                    </a:stretch>
                  </pic:blipFill>
                  <pic:spPr>
                    <a:xfrm>
                      <a:off x="0" y="0"/>
                      <a:ext cx="5731510" cy="2240915"/>
                    </a:xfrm>
                    <a:prstGeom prst="rect">
                      <a:avLst/>
                    </a:prstGeom>
                  </pic:spPr>
                </pic:pic>
              </a:graphicData>
            </a:graphic>
          </wp:inline>
        </w:drawing>
      </w:r>
    </w:p>
    <w:p w14:paraId="58AE9A40">
      <w:pPr>
        <w:spacing w:line="360" w:lineRule="auto"/>
        <w:rPr>
          <w:rFonts w:eastAsia="等线"/>
          <w:szCs w:val="20"/>
          <w:lang w:eastAsia="zh-CN"/>
        </w:rPr>
      </w:pPr>
      <w:bookmarkStart w:id="12" w:name="251048179"/>
      <w:bookmarkEnd w:id="12"/>
      <w:r>
        <w:rPr>
          <w:rFonts w:eastAsia="等线"/>
          <w:szCs w:val="20"/>
          <w:lang w:eastAsia="zh-CN"/>
        </w:rPr>
        <w:t>By using these tests, patients can be classified into one of three categories: (1) normal, (2) impaired glucose tolerance/impaired fasting glucose (eg, “prediabetic”), or (3) diabetic. Increased risk for microvascular complications of hyperglycemia is seen at a fasting glucose more than 126 mg/dL or Hb A1C &gt; 6.5%. Once diabetes is diagnosed, therapy is instituted with three major goals, which are listed below.</w:t>
      </w:r>
    </w:p>
    <w:p w14:paraId="3D607E10">
      <w:pPr>
        <w:tabs>
          <w:tab w:val="left" w:pos="720"/>
        </w:tabs>
        <w:spacing w:line="360" w:lineRule="auto"/>
        <w:rPr>
          <w:rFonts w:eastAsia="等线"/>
          <w:szCs w:val="20"/>
          <w:lang w:eastAsia="zh-CN"/>
        </w:rPr>
      </w:pPr>
      <w:bookmarkStart w:id="13" w:name="251048180"/>
      <w:bookmarkEnd w:id="13"/>
      <w:r>
        <w:rPr>
          <w:rFonts w:eastAsia="等线"/>
          <w:szCs w:val="20"/>
          <w:lang w:eastAsia="zh-CN"/>
        </w:rPr>
        <w:t>Prevention of acute complications of hyperglycemia (eg, diabetic ketoacidosis [DKA] or nonketotic hyperosmolar hyperglycemia) or hypoglycemia</w:t>
      </w:r>
    </w:p>
    <w:p w14:paraId="39D10C78">
      <w:pPr>
        <w:tabs>
          <w:tab w:val="left" w:pos="720"/>
        </w:tabs>
        <w:spacing w:line="360" w:lineRule="auto"/>
        <w:rPr>
          <w:rFonts w:eastAsia="等线"/>
          <w:szCs w:val="20"/>
          <w:lang w:eastAsia="zh-CN"/>
        </w:rPr>
      </w:pPr>
      <w:r>
        <w:rPr>
          <w:rFonts w:eastAsia="等线"/>
          <w:szCs w:val="20"/>
          <w:lang w:eastAsia="zh-CN"/>
        </w:rPr>
        <w:t>Prevention of long-term complications of hyperglycemia, for example, microvascular disease such as retinopathy or nephropathy</w:t>
      </w:r>
    </w:p>
    <w:p w14:paraId="23D83D93">
      <w:pPr>
        <w:tabs>
          <w:tab w:val="left" w:pos="720"/>
        </w:tabs>
        <w:spacing w:line="360" w:lineRule="auto"/>
        <w:rPr>
          <w:rFonts w:eastAsia="等线"/>
          <w:szCs w:val="20"/>
          <w:lang w:eastAsia="zh-CN"/>
        </w:rPr>
      </w:pPr>
      <w:r>
        <w:rPr>
          <w:rFonts w:eastAsia="等线"/>
          <w:szCs w:val="20"/>
          <w:lang w:eastAsia="zh-CN"/>
        </w:rPr>
        <w:t>Prevention of long-term complications of macrovascular disease, for example, cardiovascular or cerebrovascular disease</w:t>
      </w:r>
    </w:p>
    <w:p w14:paraId="39BEEC0C">
      <w:pPr>
        <w:spacing w:line="360" w:lineRule="auto"/>
        <w:rPr>
          <w:rFonts w:eastAsia="等线"/>
          <w:b/>
          <w:bCs/>
          <w:szCs w:val="20"/>
          <w:lang w:eastAsia="zh-CN"/>
        </w:rPr>
      </w:pPr>
      <w:r>
        <w:rPr>
          <w:rFonts w:eastAsia="等线"/>
          <w:b/>
          <w:bCs/>
          <w:szCs w:val="20"/>
          <w:lang w:eastAsia="zh-CN"/>
        </w:rPr>
        <w:t>Treatment</w:t>
      </w:r>
    </w:p>
    <w:p w14:paraId="6C725250">
      <w:pPr>
        <w:spacing w:line="360" w:lineRule="auto"/>
        <w:rPr>
          <w:rFonts w:eastAsia="等线"/>
          <w:szCs w:val="20"/>
          <w:lang w:eastAsia="zh-CN"/>
        </w:rPr>
      </w:pPr>
      <w:bookmarkStart w:id="14" w:name="251048181"/>
      <w:bookmarkEnd w:id="14"/>
      <w:bookmarkStart w:id="15" w:name="251048182"/>
      <w:bookmarkEnd w:id="15"/>
      <w:r>
        <w:rPr>
          <w:rFonts w:eastAsia="等线"/>
          <w:szCs w:val="20"/>
          <w:lang w:eastAsia="zh-CN"/>
        </w:rPr>
        <w:t>The foundation of diabetes therapy is dietary and lifestyle modifications. Exercise and even small amounts of weight loss can lower blood pressure and improve glucose control. Patients should be given instruction in nutrition and encouraged to change sedentary lifestyles.</w:t>
      </w:r>
    </w:p>
    <w:p w14:paraId="78CCAB9D">
      <w:pPr>
        <w:spacing w:line="360" w:lineRule="auto"/>
        <w:rPr>
          <w:rFonts w:eastAsia="等线"/>
          <w:szCs w:val="20"/>
          <w:lang w:eastAsia="zh-CN"/>
        </w:rPr>
      </w:pPr>
      <w:bookmarkStart w:id="16" w:name="251048183"/>
      <w:bookmarkEnd w:id="16"/>
      <w:r>
        <w:rPr>
          <w:rFonts w:eastAsia="等线"/>
          <w:szCs w:val="20"/>
          <w:lang w:eastAsia="zh-CN"/>
        </w:rPr>
        <w:t>However, most people with diabetes will eventually require medical therapy, and many patients will eventually require a combination of at least two medications. Because of the difficulty in achieving and sustaining glycemic targets and achieving significant weight loss, the ADA recommends that metformin should be initiated concurrently with lifestyle intervention at the time of diagnosis.</w:t>
      </w:r>
    </w:p>
    <w:p w14:paraId="5EE09D3F">
      <w:pPr>
        <w:spacing w:line="360" w:lineRule="auto"/>
        <w:rPr>
          <w:rFonts w:eastAsia="等线"/>
          <w:szCs w:val="20"/>
          <w:lang w:eastAsia="zh-CN"/>
        </w:rPr>
      </w:pPr>
      <w:bookmarkStart w:id="17" w:name="251048184"/>
      <w:bookmarkEnd w:id="17"/>
      <w:r>
        <w:rPr>
          <w:rFonts w:eastAsia="等线"/>
          <w:szCs w:val="20"/>
          <w:lang w:eastAsia="zh-CN"/>
        </w:rPr>
        <w:t>The glycemic goal is individualized based on multiple factors (eg, hypoglycemia risk, life expectancy, other disease comorbidities) but is generally a hemoglobin A1C &lt; 7%. If patients fail to achieve the glycemic goal with initial therapy, including lifestyle modification and metformin, therapeutic options include adding a second oral or injectable agent, including insulin, or switching to insulin monotherapy. A list of therapeutic agents for diabetes is included in </w:t>
      </w:r>
      <w:r>
        <w:fldChar w:fldCharType="begin"/>
      </w:r>
      <w:r>
        <w:instrText xml:space="preserve"> HYPERLINK "https://casefiles.mhmedical.com/CaseContent.aspx?gbosID=553150&amp;gbosContainerID=248&amp;viewByNumber=false&amp;groupid=0" \l "toyim6_cs51tb2" </w:instrText>
      </w:r>
      <w:r>
        <w:fldChar w:fldCharType="separate"/>
      </w:r>
      <w:r>
        <w:rPr>
          <w:lang w:eastAsia="zh-CN"/>
        </w:rPr>
        <w:t>Table 51–2</w:t>
      </w:r>
      <w:r>
        <w:rPr>
          <w:lang w:eastAsia="zh-CN"/>
        </w:rPr>
        <w:fldChar w:fldCharType="end"/>
      </w:r>
      <w:r>
        <w:rPr>
          <w:rFonts w:eastAsia="等线"/>
          <w:szCs w:val="20"/>
          <w:lang w:eastAsia="zh-CN"/>
        </w:rPr>
        <w:t>.</w:t>
      </w:r>
    </w:p>
    <w:p w14:paraId="69FD536C">
      <w:pPr>
        <w:spacing w:line="360" w:lineRule="auto"/>
        <w:rPr>
          <w:rFonts w:eastAsia="等线"/>
          <w:b/>
          <w:bCs/>
          <w:szCs w:val="20"/>
          <w:lang w:eastAsia="zh-CN"/>
        </w:rPr>
      </w:pPr>
      <w:r>
        <w:rPr>
          <w:rFonts w:eastAsia="等线"/>
          <w:b/>
          <w:bCs/>
          <w:szCs w:val="20"/>
          <w:lang w:eastAsia="zh-CN"/>
        </w:rPr>
        <w:t>MEDICATIONS AVAILABLE IN THE UNITED STATES FOR TREATMENT OF TYPE 2 DIABETES</w:t>
      </w:r>
    </w:p>
    <w:p w14:paraId="367658C3">
      <w:pPr>
        <w:spacing w:line="360" w:lineRule="auto"/>
        <w:rPr>
          <w:rFonts w:eastAsia="等线"/>
          <w:szCs w:val="20"/>
          <w:lang w:eastAsia="zh-CN"/>
        </w:rPr>
      </w:pPr>
      <w:bookmarkStart w:id="18" w:name="251048185"/>
      <w:bookmarkEnd w:id="18"/>
      <w:bookmarkStart w:id="19" w:name="toyim6_cs51tb2"/>
      <w:bookmarkEnd w:id="19"/>
      <w:r>
        <w:rPr>
          <w:rFonts w:eastAsia="等线"/>
          <w:szCs w:val="20"/>
          <w:lang w:eastAsia="zh-CN"/>
        </w:rPr>
        <w:t>Table 51–2MEDICATIONS AVAILABLE IN THE UNITED STATES FOR TREATMENT OF TYPE 2 DIABETES</w:t>
      </w:r>
    </w:p>
    <w:p w14:paraId="073204A7">
      <w:pPr>
        <w:spacing w:line="360" w:lineRule="auto"/>
        <w:rPr>
          <w:rFonts w:eastAsia="等线"/>
          <w:szCs w:val="20"/>
          <w:lang w:eastAsia="zh-CN"/>
        </w:rPr>
      </w:pPr>
      <w:bookmarkStart w:id="20" w:name="251048186"/>
      <w:bookmarkEnd w:id="20"/>
      <w:r>
        <w:drawing>
          <wp:inline distT="0" distB="0" distL="0" distR="0">
            <wp:extent cx="5731510" cy="3020695"/>
            <wp:effectExtent l="0" t="0" r="2540" b="8255"/>
            <wp:docPr id="15458099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809974" name="Picture 1"/>
                    <pic:cNvPicPr>
                      <a:picLocks noChangeAspect="1"/>
                    </pic:cNvPicPr>
                  </pic:nvPicPr>
                  <pic:blipFill>
                    <a:blip r:embed="rId7"/>
                    <a:stretch>
                      <a:fillRect/>
                    </a:stretch>
                  </pic:blipFill>
                  <pic:spPr>
                    <a:xfrm>
                      <a:off x="0" y="0"/>
                      <a:ext cx="5731510" cy="3020695"/>
                    </a:xfrm>
                    <a:prstGeom prst="rect">
                      <a:avLst/>
                    </a:prstGeom>
                  </pic:spPr>
                </pic:pic>
              </a:graphicData>
            </a:graphic>
          </wp:inline>
        </w:drawing>
      </w:r>
      <w:r>
        <w:rPr>
          <w:rFonts w:eastAsia="等线"/>
          <w:szCs w:val="20"/>
          <w:lang w:eastAsia="zh-CN"/>
        </w:rPr>
        <w:t xml:space="preserve"> When diabetes is diagnosed, other cardiovascular risk factors should be assessed. Blood pressure and lipid levels should be measured. The cardiovascular risk in those with diabetes is equivalent to those with known coronary artery disease. Statins are the preferred LDL reduction medication, with goal reduction depending on the intensity of the regimen. Moderate-dose statins should aim to reduce LDL by 30% to 50%, while high-intensity statins should aim for 50% reduction or more.</w:t>
      </w:r>
    </w:p>
    <w:p w14:paraId="24E934AA">
      <w:pPr>
        <w:spacing w:line="360" w:lineRule="auto"/>
        <w:rPr>
          <w:rFonts w:eastAsia="等线"/>
          <w:szCs w:val="20"/>
          <w:lang w:eastAsia="zh-CN"/>
        </w:rPr>
      </w:pPr>
      <w:bookmarkStart w:id="21" w:name="251048187"/>
      <w:bookmarkEnd w:id="21"/>
      <w:r>
        <w:rPr>
          <w:rFonts w:eastAsia="等线"/>
          <w:szCs w:val="20"/>
          <w:lang w:eastAsia="zh-CN"/>
        </w:rPr>
        <w:t>The desired blood pressure goal in an individual with diabetes and hypertension is &lt; 140/90 mm Hg if the 10-year atherosclerotic cardiovascular risk is less than 15%; otherwise, one should pursue a lower target of &lt; 130/80 mm Hg if it can be safely attained. Several randomized trials have demonstrated a benefit for angiotensin-converting enzyme (ACE) inhibitors and angiotensin receptor blockers in preventing the progression of proteinuria and kidney disease.</w:t>
      </w:r>
    </w:p>
    <w:p w14:paraId="219627DD">
      <w:pPr>
        <w:spacing w:line="360" w:lineRule="auto"/>
        <w:rPr>
          <w:rFonts w:eastAsia="等线"/>
          <w:szCs w:val="20"/>
          <w:lang w:eastAsia="zh-CN"/>
        </w:rPr>
      </w:pPr>
      <w:bookmarkStart w:id="22" w:name="251048188"/>
      <w:bookmarkEnd w:id="22"/>
      <w:r>
        <w:rPr>
          <w:rFonts w:eastAsia="等线"/>
          <w:szCs w:val="20"/>
          <w:lang w:eastAsia="zh-CN"/>
        </w:rPr>
        <w:t>Other routine care in diabetic patients includes frequent primary care provider visits, at least every 3 to 6 months depending on the patient’s glucose control, at least yearly ophthalmologic examinations to screen for retinopathy, yearly urine screens to detect microalbuminuria, and yearly foot examinations to detect peripheral neuropathy (if patient has no prior neuropathy). Hemoglobin A1C should be checked at least every 3 to 6 months, depending on the patient’s glucose control. This test allows the clinician to know the general glucose control over the preceding 2 to 3 months.</w:t>
      </w:r>
    </w:p>
    <w:p w14:paraId="1884156A">
      <w:pPr>
        <w:spacing w:line="360" w:lineRule="auto"/>
        <w:rPr>
          <w:rFonts w:eastAsia="等线"/>
          <w:szCs w:val="20"/>
          <w:lang w:eastAsia="zh-CN"/>
        </w:rPr>
      </w:pPr>
      <w:bookmarkStart w:id="23" w:name="251048189"/>
      <w:bookmarkEnd w:id="23"/>
      <w:r>
        <w:rPr>
          <w:rFonts w:eastAsia="等线"/>
          <w:szCs w:val="20"/>
          <w:lang w:eastAsia="zh-CN"/>
        </w:rPr>
        <w:t>Patients with established neuropathy should be examined at every visit and be instructed on daily self-examination and prevention of injury. In fact, neuropathy is the main risk factor for the development of a foot ulcer and subsequent development of a wound; this can progress into a nonhealing ulcer that sometimes requires surgical amputation. Thus, careful foot care and daily examination are the most important preventive steps.</w:t>
      </w:r>
    </w:p>
    <w:p w14:paraId="1E364BF7">
      <w:pPr>
        <w:spacing w:line="360" w:lineRule="auto"/>
        <w:rPr>
          <w:rFonts w:eastAsia="等线"/>
          <w:b/>
          <w:bCs/>
          <w:szCs w:val="20"/>
          <w:lang w:eastAsia="zh-CN"/>
        </w:rPr>
      </w:pPr>
      <w:r>
        <w:rPr>
          <w:rFonts w:eastAsia="等线"/>
          <w:b/>
          <w:bCs/>
          <w:szCs w:val="20"/>
          <w:lang w:eastAsia="zh-CN"/>
        </w:rPr>
        <w:t>Case Correlation</w:t>
      </w:r>
    </w:p>
    <w:p w14:paraId="240D0F02">
      <w:pPr>
        <w:tabs>
          <w:tab w:val="left" w:pos="720"/>
        </w:tabs>
        <w:spacing w:line="360" w:lineRule="auto"/>
        <w:rPr>
          <w:rFonts w:eastAsia="等线"/>
          <w:szCs w:val="20"/>
          <w:lang w:eastAsia="zh-CN"/>
        </w:rPr>
      </w:pPr>
      <w:bookmarkStart w:id="24" w:name="251048191"/>
      <w:bookmarkEnd w:id="24"/>
      <w:bookmarkStart w:id="25" w:name="251048190"/>
      <w:bookmarkEnd w:id="25"/>
      <w:r>
        <w:rPr>
          <w:rFonts w:eastAsia="等线"/>
          <w:szCs w:val="20"/>
          <w:lang w:eastAsia="zh-CN"/>
        </w:rPr>
        <w:t>See also Case 48 (Oligomenorrhea Caused by Hypothyroidism and Hyperprolactinemia), Case 52 (Diabetic Ketoacidosis, Type 1 Diabetes), and Case 53 (Thyrotoxicosis/Graves Disease).</w:t>
      </w:r>
    </w:p>
    <w:p w14:paraId="49D124BB">
      <w:pPr>
        <w:spacing w:line="360" w:lineRule="auto"/>
        <w:rPr>
          <w:rFonts w:eastAsia="等线"/>
          <w:b/>
          <w:bCs/>
          <w:color w:val="FF0000"/>
          <w:szCs w:val="20"/>
          <w:lang w:val="en-US" w:eastAsia="zh-CN"/>
        </w:rPr>
      </w:pPr>
      <w:r>
        <w:rPr>
          <w:rFonts w:eastAsia="等线"/>
          <w:b/>
          <w:bCs/>
          <w:color w:val="FF0000"/>
          <w:szCs w:val="20"/>
          <w:lang w:val="en-US" w:eastAsia="zh-CN"/>
        </w:rPr>
        <w:t>Clinical Pearls</w:t>
      </w:r>
    </w:p>
    <w:p w14:paraId="43ADE272">
      <w:pPr>
        <w:pStyle w:val="24"/>
        <w:numPr>
          <w:ilvl w:val="0"/>
          <w:numId w:val="9"/>
        </w:numPr>
        <w:tabs>
          <w:tab w:val="left" w:pos="720"/>
        </w:tabs>
        <w:spacing w:line="360" w:lineRule="auto"/>
        <w:rPr>
          <w:rFonts w:eastAsia="等线"/>
          <w:szCs w:val="20"/>
          <w:lang w:eastAsia="zh-CN"/>
        </w:rPr>
      </w:pPr>
      <w:r>
        <w:rPr>
          <w:rFonts w:eastAsia="等线"/>
          <w:szCs w:val="20"/>
          <w:lang w:eastAsia="zh-CN"/>
        </w:rPr>
        <w:t>Type 2 diabetes has a prolonged asymptomatic stage during which microvascular disease (retinopathy, nephropathy, or neuropathy) can occur. Clinicians should have a high index of suspicion and screen patients with risk factors.</w:t>
      </w:r>
    </w:p>
    <w:p w14:paraId="00D50476">
      <w:pPr>
        <w:pStyle w:val="24"/>
        <w:numPr>
          <w:ilvl w:val="0"/>
          <w:numId w:val="9"/>
        </w:numPr>
        <w:tabs>
          <w:tab w:val="left" w:pos="720"/>
        </w:tabs>
        <w:spacing w:line="360" w:lineRule="auto"/>
        <w:rPr>
          <w:rFonts w:eastAsia="等线"/>
          <w:szCs w:val="20"/>
          <w:lang w:eastAsia="zh-CN"/>
        </w:rPr>
      </w:pPr>
      <w:r>
        <w:rPr>
          <w:rFonts w:eastAsia="等线"/>
          <w:szCs w:val="20"/>
          <w:lang w:eastAsia="zh-CN"/>
        </w:rPr>
        <w:t>Lifestyle modification and metformin are the initial therapy for most patients when they are diagnosed with type 2 diabetes.</w:t>
      </w:r>
    </w:p>
    <w:p w14:paraId="0718DC91">
      <w:pPr>
        <w:pStyle w:val="24"/>
        <w:numPr>
          <w:ilvl w:val="0"/>
          <w:numId w:val="9"/>
        </w:numPr>
        <w:tabs>
          <w:tab w:val="left" w:pos="720"/>
        </w:tabs>
        <w:spacing w:line="360" w:lineRule="auto"/>
        <w:rPr>
          <w:rFonts w:eastAsia="等线"/>
          <w:szCs w:val="20"/>
          <w:lang w:eastAsia="zh-CN"/>
        </w:rPr>
      </w:pPr>
      <w:r>
        <w:rPr>
          <w:rFonts w:eastAsia="等线"/>
          <w:szCs w:val="20"/>
          <w:lang w:eastAsia="zh-CN"/>
        </w:rPr>
        <w:t>The major cause of morbidity and mortality in patients with type 2 diabetes mellitus is macrovascular disease, such as coronary artery disease, stroke, and peripheral vascular disease, so aggressive cardiovascular risk factor reduction is essential.</w:t>
      </w:r>
    </w:p>
    <w:p w14:paraId="5FD254E8">
      <w:pPr>
        <w:pStyle w:val="24"/>
        <w:numPr>
          <w:ilvl w:val="0"/>
          <w:numId w:val="9"/>
        </w:numPr>
        <w:tabs>
          <w:tab w:val="left" w:pos="720"/>
        </w:tabs>
        <w:spacing w:line="360" w:lineRule="auto"/>
        <w:rPr>
          <w:rFonts w:eastAsia="等线"/>
          <w:szCs w:val="20"/>
          <w:lang w:eastAsia="zh-CN"/>
        </w:rPr>
      </w:pPr>
      <w:r>
        <w:rPr>
          <w:rFonts w:eastAsia="等线"/>
          <w:szCs w:val="20"/>
          <w:lang w:eastAsia="zh-CN"/>
        </w:rPr>
        <w:t>Glycemic goals are individualized for each patient but generally include Hb A1C &lt; 7%.</w:t>
      </w:r>
    </w:p>
    <w:p w14:paraId="23103065">
      <w:pPr>
        <w:pStyle w:val="24"/>
        <w:numPr>
          <w:ilvl w:val="0"/>
          <w:numId w:val="9"/>
        </w:numPr>
        <w:tabs>
          <w:tab w:val="left" w:pos="720"/>
        </w:tabs>
        <w:spacing w:line="360" w:lineRule="auto"/>
        <w:rPr>
          <w:rFonts w:eastAsia="等线"/>
          <w:szCs w:val="20"/>
          <w:lang w:eastAsia="zh-CN"/>
        </w:rPr>
      </w:pPr>
      <w:r>
        <w:rPr>
          <w:rFonts w:eastAsia="等线"/>
          <w:szCs w:val="20"/>
          <w:lang w:eastAsia="zh-CN"/>
        </w:rPr>
        <w:t>Blood pressure target should be &lt; 140/90 or &lt; 130/80 mm Hg (depending on cardiovascular risk), and LDL cholesterol should be lowered (usually by 30% to 50%) with a statin, based on the patient’s atherosclerotic cardiovascular disease risk.</w:t>
      </w:r>
    </w:p>
    <w:p w14:paraId="7683ED0C">
      <w:pPr>
        <w:spacing w:line="360" w:lineRule="auto"/>
        <w:rPr>
          <w:rFonts w:eastAsia="等线"/>
          <w:b/>
          <w:bCs/>
          <w:color w:val="FF0000"/>
          <w:szCs w:val="20"/>
          <w:lang w:val="en-US" w:eastAsia="zh-CN"/>
        </w:rPr>
      </w:pPr>
      <w:r>
        <w:rPr>
          <w:rFonts w:eastAsia="等线"/>
          <w:b/>
          <w:bCs/>
          <w:color w:val="FF0000"/>
          <w:szCs w:val="20"/>
          <w:lang w:val="en-US" w:eastAsia="zh-CN"/>
        </w:rPr>
        <w:t>Case Quiz</w:t>
      </w:r>
    </w:p>
    <w:p w14:paraId="3E29E39D">
      <w:pPr>
        <w:spacing w:line="360" w:lineRule="auto"/>
        <w:rPr>
          <w:rFonts w:eastAsia="等线"/>
          <w:color w:val="FF0000"/>
          <w:szCs w:val="20"/>
          <w:lang w:val="en-US" w:eastAsia="zh-CN"/>
        </w:rPr>
      </w:pPr>
      <w:r>
        <w:rPr>
          <w:rFonts w:eastAsia="等线"/>
          <w:color w:val="FF0000"/>
          <w:szCs w:val="20"/>
          <w:lang w:val="en-US" w:eastAsia="zh-CN"/>
        </w:rPr>
        <w:t>Question 1 of 5</w:t>
      </w:r>
    </w:p>
    <w:p w14:paraId="568D7C08">
      <w:pPr>
        <w:spacing w:line="360" w:lineRule="auto"/>
        <w:rPr>
          <w:rFonts w:eastAsia="等线"/>
          <w:szCs w:val="20"/>
          <w:lang w:val="en-US" w:eastAsia="zh-CN"/>
        </w:rPr>
      </w:pPr>
      <w:r>
        <w:rPr>
          <w:rFonts w:eastAsia="等线"/>
          <w:szCs w:val="20"/>
          <w:lang w:val="en-US" w:eastAsia="zh-CN"/>
        </w:rPr>
        <w:t>51.1</w:t>
      </w:r>
      <w:r>
        <w:rPr>
          <w:rFonts w:hint="eastAsia" w:eastAsia="等线"/>
          <w:szCs w:val="20"/>
          <w:lang w:val="en-US" w:eastAsia="zh-CN"/>
        </w:rPr>
        <w:t xml:space="preserve"> </w:t>
      </w:r>
      <w:r>
        <w:rPr>
          <w:rFonts w:eastAsia="等线"/>
          <w:szCs w:val="20"/>
          <w:lang w:val="en-US" w:eastAsia="zh-CN"/>
        </w:rPr>
        <w:t>A 45-year-old man comes in for counseling about his fasting plasma glucose test after a routine health maintenance examination. On two separate occasions, the result has been 115 mg/dL and 120 mg/dL. Which of the following is the most appropriate next step at this time?</w:t>
      </w:r>
    </w:p>
    <w:p w14:paraId="6A1CD67F">
      <w:pPr>
        <w:spacing w:line="360" w:lineRule="auto"/>
        <w:rPr>
          <w:rFonts w:eastAsia="等线"/>
          <w:szCs w:val="20"/>
          <w:lang w:val="en-US" w:eastAsia="zh-CN"/>
        </w:rPr>
      </w:pPr>
      <w:r>
        <w:rPr>
          <w:rFonts w:eastAsia="等线"/>
          <w:szCs w:val="20"/>
          <w:lang w:val="en-US" w:eastAsia="zh-CN"/>
        </w:rPr>
        <w:t>A</w:t>
      </w:r>
      <w:r>
        <w:rPr>
          <w:rFonts w:hint="eastAsia" w:eastAsia="等线"/>
          <w:szCs w:val="20"/>
          <w:lang w:val="en-US" w:eastAsia="zh-CN"/>
        </w:rPr>
        <w:t xml:space="preserve"> </w:t>
      </w:r>
      <w:r>
        <w:rPr>
          <w:rFonts w:eastAsia="等线"/>
          <w:szCs w:val="20"/>
          <w:lang w:val="en-US" w:eastAsia="zh-CN"/>
        </w:rPr>
        <w:t>Reassurance that these are normal blood sugars.</w:t>
      </w:r>
    </w:p>
    <w:p w14:paraId="354469DC">
      <w:pPr>
        <w:spacing w:line="360" w:lineRule="auto"/>
        <w:rPr>
          <w:rFonts w:eastAsia="等线"/>
          <w:szCs w:val="20"/>
          <w:lang w:val="en-US" w:eastAsia="zh-CN"/>
        </w:rPr>
      </w:pPr>
      <w:r>
        <w:rPr>
          <w:rFonts w:eastAsia="等线"/>
          <w:szCs w:val="20"/>
          <w:lang w:val="en-US" w:eastAsia="zh-CN"/>
        </w:rPr>
        <w:t>B</w:t>
      </w:r>
      <w:r>
        <w:rPr>
          <w:rFonts w:hint="eastAsia" w:eastAsia="等线"/>
          <w:szCs w:val="20"/>
          <w:lang w:val="en-US" w:eastAsia="zh-CN"/>
        </w:rPr>
        <w:t xml:space="preserve"> </w:t>
      </w:r>
      <w:r>
        <w:rPr>
          <w:rFonts w:eastAsia="等线"/>
          <w:szCs w:val="20"/>
          <w:lang w:val="en-US" w:eastAsia="zh-CN"/>
        </w:rPr>
        <w:t>Recommend weight loss, an ADA diet, and exercise.</w:t>
      </w:r>
    </w:p>
    <w:p w14:paraId="40338863">
      <w:pPr>
        <w:spacing w:line="360" w:lineRule="auto"/>
        <w:rPr>
          <w:rFonts w:eastAsia="等线"/>
          <w:szCs w:val="20"/>
          <w:lang w:val="en-US" w:eastAsia="zh-CN"/>
        </w:rPr>
      </w:pPr>
      <w:r>
        <w:rPr>
          <w:rFonts w:eastAsia="等线"/>
          <w:szCs w:val="20"/>
          <w:lang w:val="en-US" w:eastAsia="zh-CN"/>
        </w:rPr>
        <w:t>C</w:t>
      </w:r>
      <w:r>
        <w:rPr>
          <w:rFonts w:hint="eastAsia" w:eastAsia="等线"/>
          <w:szCs w:val="20"/>
          <w:lang w:val="en-US" w:eastAsia="zh-CN"/>
        </w:rPr>
        <w:t xml:space="preserve"> </w:t>
      </w:r>
      <w:r>
        <w:rPr>
          <w:rFonts w:eastAsia="等线"/>
          <w:szCs w:val="20"/>
          <w:lang w:val="en-US" w:eastAsia="zh-CN"/>
        </w:rPr>
        <w:t>Diagnose diabetes mellitus and start on a sulfonylurea.</w:t>
      </w:r>
    </w:p>
    <w:p w14:paraId="33F164F1">
      <w:pPr>
        <w:spacing w:line="360" w:lineRule="auto"/>
        <w:rPr>
          <w:rFonts w:eastAsia="等线"/>
          <w:szCs w:val="20"/>
          <w:lang w:val="en-US" w:eastAsia="zh-CN"/>
        </w:rPr>
      </w:pPr>
      <w:r>
        <w:rPr>
          <w:rFonts w:eastAsia="等线"/>
          <w:szCs w:val="20"/>
          <w:lang w:val="en-US" w:eastAsia="zh-CN"/>
        </w:rPr>
        <w:t>D</w:t>
      </w:r>
      <w:r>
        <w:rPr>
          <w:rFonts w:hint="eastAsia" w:eastAsia="等线"/>
          <w:szCs w:val="20"/>
          <w:lang w:val="en-US" w:eastAsia="zh-CN"/>
        </w:rPr>
        <w:t xml:space="preserve"> </w:t>
      </w:r>
      <w:r>
        <w:rPr>
          <w:rFonts w:eastAsia="等线"/>
          <w:szCs w:val="20"/>
          <w:lang w:val="en-US" w:eastAsia="zh-CN"/>
        </w:rPr>
        <w:t xml:space="preserve">Recommend cardiac stress testing. </w:t>
      </w:r>
    </w:p>
    <w:p w14:paraId="7D6683D7">
      <w:pPr>
        <w:spacing w:line="360" w:lineRule="auto"/>
        <w:rPr>
          <w:rFonts w:eastAsia="等线"/>
          <w:szCs w:val="20"/>
          <w:lang w:val="en-US" w:eastAsia="zh-CN"/>
        </w:rPr>
      </w:pPr>
      <w:r>
        <w:rPr>
          <w:rFonts w:eastAsia="等线"/>
          <w:szCs w:val="20"/>
          <w:lang w:val="en-US" w:eastAsia="zh-CN"/>
        </w:rPr>
        <w:t>E</w:t>
      </w:r>
      <w:r>
        <w:rPr>
          <w:rFonts w:hint="eastAsia" w:eastAsia="等线"/>
          <w:szCs w:val="20"/>
          <w:lang w:val="en-US" w:eastAsia="zh-CN"/>
        </w:rPr>
        <w:t xml:space="preserve"> </w:t>
      </w:r>
      <w:r>
        <w:rPr>
          <w:rFonts w:eastAsia="等线"/>
          <w:szCs w:val="20"/>
          <w:lang w:val="en-US" w:eastAsia="zh-CN"/>
        </w:rPr>
        <w:t>Obtain stat arterial blood gas and serum ketone levels.</w:t>
      </w:r>
    </w:p>
    <w:p w14:paraId="60B30153">
      <w:pPr>
        <w:spacing w:line="360" w:lineRule="auto"/>
        <w:rPr>
          <w:rFonts w:eastAsia="等线"/>
          <w:szCs w:val="20"/>
          <w:lang w:val="en-US" w:eastAsia="zh-CN"/>
        </w:rPr>
      </w:pPr>
      <w:r>
        <w:rPr>
          <w:rFonts w:eastAsia="等线"/>
          <w:szCs w:val="20"/>
          <w:lang w:val="en-US" w:eastAsia="zh-CN"/>
        </w:rPr>
        <w:t>The correct answer is </w:t>
      </w:r>
      <w:r>
        <w:rPr>
          <w:rFonts w:eastAsia="等线"/>
          <w:b/>
          <w:bCs/>
          <w:szCs w:val="20"/>
          <w:lang w:val="en-US" w:eastAsia="zh-CN"/>
        </w:rPr>
        <w:t>B</w:t>
      </w:r>
      <w:r>
        <w:rPr>
          <w:rFonts w:eastAsia="等线"/>
          <w:szCs w:val="20"/>
          <w:lang w:val="en-US" w:eastAsia="zh-CN"/>
        </w:rPr>
        <w:t>. You answered </w:t>
      </w:r>
      <w:r>
        <w:rPr>
          <w:rFonts w:eastAsia="等线"/>
          <w:b/>
          <w:bCs/>
          <w:szCs w:val="20"/>
          <w:lang w:val="en-US" w:eastAsia="zh-CN"/>
        </w:rPr>
        <w:t>E</w:t>
      </w:r>
      <w:r>
        <w:rPr>
          <w:rFonts w:eastAsia="等线"/>
          <w:szCs w:val="20"/>
          <w:lang w:val="en-US" w:eastAsia="zh-CN"/>
        </w:rPr>
        <w:t>.</w:t>
      </w:r>
    </w:p>
    <w:p w14:paraId="4E46B7DA">
      <w:pPr>
        <w:spacing w:line="360" w:lineRule="auto"/>
        <w:rPr>
          <w:rFonts w:eastAsia="等线"/>
          <w:szCs w:val="20"/>
          <w:lang w:val="en-US" w:eastAsia="zh-CN"/>
        </w:rPr>
      </w:pPr>
      <w:r>
        <w:rPr>
          <w:rFonts w:eastAsia="等线"/>
          <w:b/>
          <w:bCs/>
          <w:szCs w:val="20"/>
          <w:lang w:val="en-US" w:eastAsia="zh-CN"/>
        </w:rPr>
        <w:t>Explanation:</w:t>
      </w:r>
      <w:bookmarkStart w:id="26" w:name="259105219"/>
      <w:bookmarkEnd w:id="26"/>
    </w:p>
    <w:p w14:paraId="0A07F2DA">
      <w:pPr>
        <w:spacing w:line="360" w:lineRule="auto"/>
        <w:rPr>
          <w:rFonts w:eastAsia="等线"/>
          <w:szCs w:val="20"/>
          <w:lang w:val="en-US" w:eastAsia="zh-CN"/>
        </w:rPr>
      </w:pPr>
      <w:r>
        <w:rPr>
          <w:rFonts w:eastAsia="等线"/>
          <w:b/>
          <w:bCs/>
          <w:szCs w:val="20"/>
          <w:lang w:val="en-US" w:eastAsia="zh-CN"/>
        </w:rPr>
        <w:t>B.</w:t>
      </w:r>
      <w:r>
        <w:rPr>
          <w:rFonts w:eastAsia="等线"/>
          <w:szCs w:val="20"/>
          <w:lang w:val="en-US" w:eastAsia="zh-CN"/>
        </w:rPr>
        <w:t> By diagnostic criteria, this patient falls into the definition of impaired fasting glucose, which is between 100 and 125 mg/dL. A normal fasting glucose level is &lt; 100 mg/dL; diabetes can be diagnosed by a fasting glucose level of 126 mg/dL or higher. Although she does not yet meet the criteria for diabetes (answer C), she is at greater risk for developing diabetes in the future and for macrovascular disease. Intensive lifestyle changes (diet and exercise for 30 minutes per day, 5 days per week) can prevent or delay the development of diabetes. Patients should be monitored annually to screen for progression to diabetes. Cardiac stress testing (answer D) is indicated if there is chest pain or other suspicion of coronary heart disease. This patient does not have normal blood sugars (answer A) or DKA (answer E).</w:t>
      </w:r>
    </w:p>
    <w:p w14:paraId="3C9E1332">
      <w:pPr>
        <w:spacing w:line="360" w:lineRule="auto"/>
        <w:rPr>
          <w:rFonts w:eastAsia="等线"/>
          <w:szCs w:val="20"/>
          <w:lang w:val="en-US" w:eastAsia="zh-CN"/>
        </w:rPr>
      </w:pPr>
      <w:r>
        <w:rPr>
          <w:rFonts w:eastAsia="等线"/>
          <w:b/>
          <w:bCs/>
          <w:color w:val="FF0000"/>
          <w:szCs w:val="20"/>
          <w:lang w:val="en-US" w:eastAsia="zh-CN"/>
        </w:rPr>
        <w:t>References</w:t>
      </w:r>
      <w:r>
        <w:rPr>
          <w:rFonts w:eastAsia="等线"/>
          <w:b/>
          <w:bCs/>
          <w:color w:val="FF0000"/>
          <w:szCs w:val="20"/>
          <w:lang w:val="en-US" w:eastAsia="zh-CN"/>
        </w:rPr>
        <w:br w:type="textWrapping"/>
      </w:r>
      <w:r>
        <w:rPr>
          <w:rFonts w:eastAsia="等线"/>
          <w:szCs w:val="20"/>
          <w:lang w:val="en-US" w:eastAsia="zh-CN"/>
        </w:rPr>
        <w:t>American Diabetes Association. Standards of medical care in diabetes 2019. Diabetes Care. 2019;38(suppl 1):S13–S123.</w:t>
      </w:r>
    </w:p>
    <w:p w14:paraId="17534C7E">
      <w:pPr>
        <w:spacing w:line="360" w:lineRule="auto"/>
        <w:rPr>
          <w:rFonts w:eastAsia="等线"/>
          <w:szCs w:val="20"/>
          <w:lang w:val="en-US" w:eastAsia="zh-CN"/>
        </w:rPr>
      </w:pPr>
      <w:r>
        <w:rPr>
          <w:rFonts w:eastAsia="等线"/>
          <w:szCs w:val="20"/>
          <w:lang w:val="en-US" w:eastAsia="zh-CN"/>
        </w:rPr>
        <w:t>[PubMed: 30559228]</w:t>
      </w:r>
    </w:p>
    <w:p w14:paraId="71AA43C1">
      <w:pPr>
        <w:spacing w:line="360" w:lineRule="auto"/>
        <w:rPr>
          <w:rFonts w:eastAsia="等线"/>
          <w:szCs w:val="20"/>
          <w:lang w:val="en-US" w:eastAsia="zh-CN"/>
        </w:rPr>
      </w:pPr>
      <w:r>
        <w:rPr>
          <w:rFonts w:eastAsia="等线"/>
          <w:szCs w:val="20"/>
          <w:lang w:val="en-US" w:eastAsia="zh-CN"/>
        </w:rPr>
        <w:t>Centers for Disease Control and Prevention. (2017). National Diabetes Statistics Report, 2017. Atlanta, GA: Centers for Disease Control and Prevention, U.S. Department of Health and Human Services.</w:t>
      </w:r>
    </w:p>
    <w:p w14:paraId="2BF635FB">
      <w:pPr>
        <w:spacing w:line="360" w:lineRule="auto"/>
        <w:rPr>
          <w:rFonts w:eastAsia="等线"/>
          <w:szCs w:val="20"/>
          <w:lang w:val="en-US" w:eastAsia="zh-CN"/>
        </w:rPr>
      </w:pPr>
      <w:r>
        <w:rPr>
          <w:rFonts w:eastAsia="等线"/>
          <w:szCs w:val="20"/>
          <w:lang w:val="en-US" w:eastAsia="zh-CN"/>
        </w:rPr>
        <w:t>De Fronzo  RA. From the triumvirate to the “ominous octet”: a new paradigm for the treatment of type 2 diabetes mellitus. Diabetes. 2009;18:773–795.</w:t>
      </w:r>
    </w:p>
    <w:p w14:paraId="1F81A332">
      <w:pPr>
        <w:spacing w:line="360" w:lineRule="auto"/>
        <w:rPr>
          <w:rFonts w:eastAsia="等线"/>
          <w:szCs w:val="20"/>
          <w:lang w:val="en-US" w:eastAsia="zh-CN"/>
        </w:rPr>
      </w:pPr>
      <w:r>
        <w:rPr>
          <w:rFonts w:eastAsia="等线"/>
          <w:szCs w:val="20"/>
          <w:lang w:val="en-US" w:eastAsia="zh-CN"/>
        </w:rPr>
        <w:t>[PubMed: 3289989]</w:t>
      </w:r>
    </w:p>
    <w:p w14:paraId="4B5E73CE">
      <w:pPr>
        <w:spacing w:line="360" w:lineRule="auto"/>
        <w:rPr>
          <w:rFonts w:eastAsia="等线"/>
          <w:szCs w:val="20"/>
          <w:lang w:val="en-US" w:eastAsia="zh-CN"/>
        </w:rPr>
      </w:pPr>
      <w:r>
        <w:rPr>
          <w:rFonts w:eastAsia="等线"/>
          <w:szCs w:val="20"/>
          <w:lang w:val="en-US" w:eastAsia="zh-CN"/>
        </w:rPr>
        <w:t>Powers  AC, Niswender  KD, Evans-Molina  C. Diabetes mellitus: diagnosis, classification, and pathophysiology. In: Jameson  J, Fauci  AD, Kasper  DL, Hauser  SL, Longo  DL, Loscalzo  J Harrison’s Principles of Internal Medicine. 20th ed. New York, NY: McGraw Hill; 2019:2399–2430</w:t>
      </w:r>
    </w:p>
    <w:p w14:paraId="018D79FC">
      <w:pPr>
        <w:spacing w:line="360" w:lineRule="auto"/>
        <w:rPr>
          <w:rFonts w:eastAsia="等线"/>
          <w:szCs w:val="20"/>
          <w:lang w:val="en-US" w:eastAsia="zh-CN"/>
        </w:rPr>
      </w:pPr>
      <w:r>
        <w:rPr>
          <w:rFonts w:eastAsia="等线"/>
          <w:szCs w:val="20"/>
          <w:lang w:val="en-US" w:eastAsia="zh-CN"/>
        </w:rPr>
        <w:t>Simon,  K. Tests for diagnosing diabetes mellitus. Glucose tolerance test is most sensitive. BMJ. 1994;309(6953):537–538.</w:t>
      </w:r>
    </w:p>
    <w:p w14:paraId="463A5F9C">
      <w:pPr>
        <w:spacing w:line="360" w:lineRule="auto"/>
        <w:rPr>
          <w:rFonts w:eastAsia="等线"/>
          <w:szCs w:val="20"/>
          <w:lang w:val="en-US" w:eastAsia="zh-CN"/>
        </w:rPr>
      </w:pPr>
      <w:r>
        <w:rPr>
          <w:rFonts w:eastAsia="等线"/>
          <w:szCs w:val="20"/>
          <w:lang w:val="en-US" w:eastAsia="zh-CN"/>
        </w:rPr>
        <w:t>[PubMed: 8086918]</w:t>
      </w:r>
    </w:p>
    <w:p w14:paraId="09C1369A">
      <w:pPr>
        <w:spacing w:line="360" w:lineRule="auto"/>
        <w:rPr>
          <w:rFonts w:eastAsia="等线"/>
          <w:b/>
          <w:bCs/>
          <w:color w:val="FF0000"/>
          <w:szCs w:val="20"/>
          <w:lang w:val="en-US" w:eastAsia="zh-CN"/>
        </w:rPr>
      </w:pPr>
      <w:r>
        <w:rPr>
          <w:rFonts w:eastAsia="等线"/>
          <w:b/>
          <w:bCs/>
          <w:color w:val="FF0000"/>
          <w:szCs w:val="20"/>
          <w:lang w:val="en-US" w:eastAsia="zh-CN"/>
        </w:rPr>
        <w:t>Works Cited</w:t>
      </w:r>
    </w:p>
    <w:p w14:paraId="3DCB21E2">
      <w:pPr>
        <w:spacing w:line="360" w:lineRule="auto"/>
        <w:rPr>
          <w:rFonts w:eastAsia="等线"/>
          <w:b/>
          <w:bCs/>
          <w:color w:val="FF0000"/>
          <w:szCs w:val="20"/>
          <w:lang w:val="en-US" w:eastAsia="zh-CN"/>
        </w:rPr>
      </w:pPr>
      <w:r>
        <w:rPr>
          <w:rFonts w:eastAsia="等线"/>
          <w:b/>
          <w:bCs/>
          <w:color w:val="FF0000"/>
          <w:szCs w:val="20"/>
          <w:lang w:val="en-US" w:eastAsia="zh-CN"/>
        </w:rPr>
        <w:t>Further Reading</w:t>
      </w:r>
    </w:p>
    <w:p w14:paraId="0EDA7F5C">
      <w:pPr>
        <w:spacing w:line="360" w:lineRule="auto"/>
        <w:rPr>
          <w:rFonts w:eastAsia="等线"/>
          <w:b/>
          <w:bCs/>
          <w:color w:val="FF0000"/>
          <w:szCs w:val="20"/>
          <w:lang w:eastAsia="zh-CN"/>
        </w:rPr>
      </w:pPr>
      <w:r>
        <w:rPr>
          <w:rFonts w:eastAsia="等线"/>
          <w:b/>
          <w:bCs/>
          <w:color w:val="FF0000"/>
          <w:szCs w:val="20"/>
          <w:lang w:eastAsia="zh-CN"/>
        </w:rPr>
        <w:t>Author and Acknowledgements</w:t>
      </w:r>
    </w:p>
    <w:p w14:paraId="5F6428A5">
      <w:pPr>
        <w:spacing w:line="360" w:lineRule="auto"/>
        <w:rPr>
          <w:rFonts w:eastAsia="等线"/>
          <w:b/>
          <w:bCs/>
          <w:color w:val="FF0000"/>
          <w:szCs w:val="20"/>
          <w:lang w:eastAsia="zh-CN"/>
        </w:rPr>
      </w:pPr>
      <w:r>
        <w:rPr>
          <w:rFonts w:eastAsia="等线"/>
          <w:b/>
          <w:bCs/>
          <w:color w:val="FF0000"/>
          <w:szCs w:val="20"/>
          <w:lang w:eastAsia="zh-CN"/>
        </w:rPr>
        <w:t>About the Author</w:t>
      </w:r>
    </w:p>
    <w:p w14:paraId="4C1F34A0">
      <w:pPr>
        <w:spacing w:line="360" w:lineRule="auto"/>
        <w:rPr>
          <w:rFonts w:eastAsia="等线"/>
          <w:szCs w:val="20"/>
          <w:lang w:val="en-US" w:eastAsia="zh-CN"/>
        </w:rPr>
      </w:pPr>
      <w:r>
        <w:rPr>
          <w:rFonts w:eastAsia="等线"/>
          <w:b/>
          <w:bCs/>
          <w:color w:val="FF0000"/>
          <w:szCs w:val="20"/>
          <w:lang w:eastAsia="zh-CN"/>
        </w:rPr>
        <w:t>Acknowledgements</w:t>
      </w:r>
      <w:r>
        <w:rPr>
          <w:rFonts w:eastAsia="等线"/>
          <w:b/>
          <w:bCs/>
          <w:color w:val="FF0000"/>
          <w:szCs w:val="20"/>
          <w:lang w:eastAsia="zh-CN"/>
        </w:rPr>
        <w:br w:type="textWrapping"/>
      </w:r>
      <w:r>
        <w:rPr>
          <w:rFonts w:eastAsia="等线"/>
          <w:szCs w:val="20"/>
          <w:lang w:val="en-US" w:eastAsia="zh-CN"/>
        </w:rPr>
        <w:t>The curriculum that evolved into the ideas for this series was inspired by Philbert Yau and Chuck Rosipal, two talented and forthright students, who have since graduated from medical school. It has been a tremendous joy to work with my excellent coauthor, Dr. Gabriel Aisenberg, who exemplifies the qualities of the ideal physician—caring, empathetic, and avid teacher, and who is intellectually unparalleled. He had “big shoes” to fill in taking over from my dear friend and colleague Dr. John Patlan, who has retired from academics and is currently in private practice. We owe John a great debt for setting such a “high bar” with five excellent editions of this book. Dr. Aisenberg would like to acknowledge Dr. Herbert Fred, a master educator, teacher of the value of hard work and skepticism. Dr. Aisenberg and I would like to express appreciation to Julia Chernis, who helped to coordinate the assignment of cases and served as our student representative, including a thorough student review for each case and careful reading of content, readability, and questions/explanations. Julia is a special person and will succeed wherever she goes. Julia would like to acknowledge Michael Kuhlmeier for his never-ending love and support, as well as her amazing grandmother, Dr. Nadya Natanzon, whose stories of her pediatric practice inspired her to pursue a career in medicine. I am greatly indebted to Bob Boehringer, whose experience and vision helped to support this series. I appreciate McGraw Hill’s believing in the concept of teaching through clinical cases. I am also grateful to Catherine Saggese for her excellent production expertise, and Madison Tucky for her wonderful and meticulous role as editorial assistant. I cherish the ever-organized and precise project manager, Sarika Gupta. It has been a privilege and honor to work with one of the brightest medical students I have encountered, Joy Davis, who directed the review questions and answers and gave input on the explanations for all the comprehension questions. As always, my daughter Allison serves as the assistant editor for the Case Files Collection and has been meticulous and insightful concerning her review and editing of this manuscript; she is like the key enzyme of the case files chemical reactions, without whom all meaningful activity ceases and with whom the words and concepts leap off the page with vigor and life. Most of all, I appreciate my ever-loving wife, Terri, and our four wonderful children, Andy and his wife Anna, Michael and his wife Nadine, Allison, and Christina and her husband Andy, for their patience and understanding.</w:t>
      </w:r>
    </w:p>
    <w:p w14:paraId="689934AB">
      <w:pPr>
        <w:rPr>
          <w:rFonts w:eastAsia="等线"/>
          <w:szCs w:val="20"/>
          <w:lang w:val="en-US" w:eastAsia="zh-CN"/>
        </w:rPr>
      </w:pPr>
      <w:r>
        <w:rPr>
          <w:rFonts w:eastAsia="等线"/>
          <w:szCs w:val="20"/>
          <w:lang w:val="en-US" w:eastAsia="zh-CN"/>
        </w:rPr>
        <w:br w:type="page"/>
      </w:r>
    </w:p>
    <w:p w14:paraId="149D6DB4">
      <w:pPr>
        <w:numPr>
          <w:ilvl w:val="0"/>
          <w:numId w:val="7"/>
        </w:numPr>
        <w:ind w:left="420" w:leftChars="0" w:hanging="420" w:firstLineChars="0"/>
        <w:outlineLvl w:val="0"/>
        <w:rPr>
          <w:rFonts w:hint="default" w:eastAsia="等线"/>
          <w:b/>
          <w:bCs/>
          <w:sz w:val="32"/>
          <w:szCs w:val="36"/>
          <w:lang w:val="en-US" w:eastAsia="zh-CN"/>
        </w:rPr>
      </w:pPr>
      <w:r>
        <w:rPr>
          <w:rFonts w:hint="eastAsia" w:eastAsia="等线"/>
          <w:b/>
          <w:bCs/>
          <w:sz w:val="32"/>
          <w:szCs w:val="36"/>
          <w:lang w:val="en-US" w:eastAsia="zh-CN"/>
        </w:rPr>
        <w:t>外科学样例</w:t>
      </w:r>
    </w:p>
    <w:p w14:paraId="2C6D0D4D">
      <w:pPr>
        <w:spacing w:line="360" w:lineRule="auto"/>
        <w:rPr>
          <w:rFonts w:hint="eastAsia" w:eastAsia="等线"/>
          <w:b/>
          <w:bCs/>
          <w:sz w:val="32"/>
          <w:szCs w:val="32"/>
          <w:lang w:eastAsia="zh-CN"/>
        </w:rPr>
      </w:pPr>
      <w:r>
        <w:rPr>
          <w:rFonts w:hint="eastAsia" w:eastAsia="等线"/>
          <w:b/>
          <w:bCs/>
          <w:sz w:val="32"/>
          <w:szCs w:val="32"/>
          <w:lang w:eastAsia="zh-CN"/>
        </w:rPr>
        <w:t>Surgery:</w:t>
      </w:r>
    </w:p>
    <w:p w14:paraId="4C227149">
      <w:pPr>
        <w:spacing w:line="360" w:lineRule="auto"/>
        <w:rPr>
          <w:rFonts w:eastAsia="等线"/>
          <w:b/>
          <w:bCs/>
          <w:sz w:val="28"/>
          <w:szCs w:val="28"/>
          <w:lang w:eastAsia="zh-CN"/>
        </w:rPr>
      </w:pPr>
      <w:r>
        <w:rPr>
          <w:rFonts w:eastAsia="等线"/>
          <w:b/>
          <w:bCs/>
          <w:sz w:val="28"/>
          <w:szCs w:val="28"/>
          <w:lang w:eastAsia="zh-CN"/>
        </w:rPr>
        <w:t>Trauma &gt; Blunt Trauma (Multiple)</w:t>
      </w:r>
    </w:p>
    <w:p w14:paraId="33931D1D">
      <w:pPr>
        <w:pStyle w:val="10"/>
      </w:pPr>
      <w:r>
        <w:t xml:space="preserve">Author(s) </w:t>
      </w:r>
      <w:r>
        <w:rPr>
          <w:b w:val="0"/>
          <w:bCs/>
          <w:i/>
          <w:iCs/>
          <w:highlight w:val="lightGray"/>
        </w:rPr>
        <w:t>(how it should appear online, in the order given/middle/family name)</w:t>
      </w:r>
      <w:r>
        <w:t>: Eugene C. Toy; Terrence Liu; Barnard Palmer</w:t>
      </w:r>
    </w:p>
    <w:p w14:paraId="2DD0BAED">
      <w:pPr>
        <w:pStyle w:val="10"/>
      </w:pPr>
      <w:r>
        <w:t xml:space="preserve">Region: </w:t>
      </w:r>
      <w:sdt>
        <w:sdtPr>
          <w:id w:val="86663462"/>
          <w:placeholder>
            <w:docPart w:val="84B07B13827F493B942735C8D772BFC0"/>
          </w:placeholder>
          <w:dropDownList>
            <w:listItem w:displayText="Australia/New Zealand" w:value="Australia/New Zealand"/>
            <w:listItem w:displayText="Colombia" w:value="Colombia"/>
            <w:listItem w:displayText="Egypt" w:value="Egypt"/>
            <w:listItem w:displayText="India" w:value="India"/>
            <w:listItem w:displayText="Indonesia" w:value="Indonesia"/>
            <w:listItem w:displayText="Lebanon" w:value="Lebanon"/>
            <w:listItem w:displayText="Mexico" w:value="Mexico"/>
            <w:listItem w:displayText="Middle East" w:value="Middle East"/>
            <w:listItem w:displayText="Saudi Arabia" w:value="Saudi Arabia"/>
            <w:listItem w:displayText="South Africa" w:value="South Africa"/>
            <w:listItem w:displayText="Southeast Asia" w:value="Southeast Asia"/>
            <w:listItem w:displayText="United Kingdom" w:value="United Kingdom"/>
          </w:dropDownList>
        </w:sdtPr>
        <w:sdtContent>
          <w:r>
            <w:t>United Kingdom</w:t>
          </w:r>
        </w:sdtContent>
      </w:sdt>
    </w:p>
    <w:p w14:paraId="3B9FE453">
      <w:pPr>
        <w:pStyle w:val="10"/>
      </w:pPr>
      <w:r>
        <w:rPr>
          <w:highlight w:val="lightGray"/>
        </w:rPr>
        <w:t>Illness/disease:</w:t>
      </w:r>
      <w:r>
        <w:t xml:space="preserve"> Blunt Trauma (Multiple)</w:t>
      </w:r>
    </w:p>
    <w:p w14:paraId="00070FE9">
      <w:pPr>
        <w:pStyle w:val="10"/>
      </w:pPr>
      <w:r>
        <w:t xml:space="preserve">Topic: </w:t>
      </w:r>
      <w:sdt>
        <w:sdtPr>
          <w:id w:val="1259786250"/>
          <w:placeholder>
            <w:docPart w:val="79B71E509FC44D9D9668692AB0B864B2"/>
          </w:placeholder>
          <w:dropDownList>
            <w:listItem w:displayText="Anaesthesia" w:value="Anaesthesia"/>
            <w:listItem w:displayText="Cardiovascular System" w:value="Cardiovascular System"/>
            <w:listItem w:displayText="Dermatology" w:value="Dermatology"/>
            <w:listItem w:displayText="Developmental Disorders" w:value="Developmental Disorders"/>
            <w:listItem w:displayText="Ears, Nose and Throat" w:value="Ears, Nose and Throat"/>
            <w:listItem w:displayText="Endocrine System and Metabolism" w:value="Endocrine System and Metabolism"/>
            <w:listItem w:displayText="Gastrointestinal System" w:value="Gastrointestinal System"/>
            <w:listItem w:displayText="Genitourinary System" w:value="Genitourinary System"/>
            <w:listItem w:displayText="Geriatrics" w:value="Geriatrics"/>
            <w:listItem w:displayText="Haematology" w:value="Haematology"/>
            <w:listItem w:displayText="Immune System" w:value="Immune System"/>
            <w:listItem w:displayText="Infectious Diseases" w:value="Infectious Diseases"/>
            <w:listItem w:displayText="Mental Health" w:value="Mental Health"/>
            <w:listItem w:displayText="Musculoskeletal System" w:value="Musculoskeletal System"/>
            <w:listItem w:displayText="Nervous System" w:value="Nervous System"/>
            <w:listItem w:displayText="Obstetrics and Gynaecology" w:value="Obstetrics and Gynaecology"/>
            <w:listItem w:displayText="Occupational Medicine" w:value="Occupational Medicine"/>
            <w:listItem w:displayText="Oncology" w:value="Oncology"/>
            <w:listItem w:displayText="Ophthalmology" w:value="Ophthalmology"/>
            <w:listItem w:displayText="Palliative Care" w:value="Palliative Care"/>
            <w:listItem w:displayText="Pharmacology" w:value="Pharmacology"/>
            <w:listItem w:displayText="Preventive Health" w:value="Preventive Health"/>
            <w:listItem w:displayText="Respiratory System" w:value="Respiratory System"/>
            <w:listItem w:displayText="Toxicology and Toxinology" w:value="Toxicology and Toxinology"/>
            <w:listItem w:displayText="Trauma and Environmental Health" w:value="Trauma and Environmental Health"/>
            <w:listItem w:displayText="Travel Medicine" w:value="Travel Medicine"/>
          </w:dropDownList>
        </w:sdtPr>
        <w:sdtContent>
          <w:r>
            <w:t>Trauma and Environmental Health</w:t>
          </w:r>
        </w:sdtContent>
      </w:sdt>
    </w:p>
    <w:p w14:paraId="29FA0343">
      <w:pPr>
        <w:pStyle w:val="10"/>
      </w:pPr>
      <w:r>
        <w:t xml:space="preserve">Setting: </w:t>
      </w:r>
      <w:sdt>
        <w:sdtPr>
          <w:id w:val="-2092299215"/>
          <w:placeholder>
            <w:docPart w:val="450A78380EAE4BDC9B1D2CC920BC7303"/>
          </w:placeholder>
          <w:dropDownList>
            <w:listItem w:displayText="Emergency Care" w:value="Emergency Care"/>
            <w:listItem w:displayText="Primary Care" w:value="Primary Care"/>
            <w:listItem w:displayText="Secondary Care" w:value="Secondary Care"/>
          </w:dropDownList>
        </w:sdtPr>
        <w:sdtContent>
          <w:r>
            <w:t>Primary Care</w:t>
          </w:r>
        </w:sdtContent>
      </w:sdt>
    </w:p>
    <w:p w14:paraId="775BDBDB">
      <w:pPr>
        <w:pStyle w:val="10"/>
      </w:pPr>
      <w:r>
        <w:t xml:space="preserve">Patient Age: </w:t>
      </w:r>
      <w:sdt>
        <w:sdtPr>
          <w:id w:val="68614911"/>
          <w:placeholder>
            <w:docPart w:val="450A78380EAE4BDC9B1D2CC920BC7303"/>
          </w:placeholder>
          <w:dropDownList>
            <w:listItem w:displayText="Child (&lt;18 years)" w:value="Child (&lt;18 years)"/>
            <w:listItem w:displayText="Adult (18+ years)" w:value="Adult (18+ years)"/>
          </w:dropDownList>
        </w:sdtPr>
        <w:sdtContent>
          <w:r>
            <w:t>Adult (18+ years)</w:t>
          </w:r>
        </w:sdtContent>
      </w:sdt>
    </w:p>
    <w:p w14:paraId="1A0E6915">
      <w:pPr>
        <w:pStyle w:val="10"/>
        <w:spacing w:line="240" w:lineRule="auto"/>
      </w:pPr>
      <w:r>
        <w:t xml:space="preserve">Level: </w:t>
      </w:r>
      <w:sdt>
        <w:sdtPr>
          <w:id w:val="2119873006"/>
          <w:placeholder>
            <w:docPart w:val="7B7A162502AA4D64ACA9F9E3716638B4"/>
          </w:placeholder>
          <w:dropDownList>
            <w:listItem w:displayText="Medical Students" w:value="Medical Students"/>
            <w:listItem w:displayText="Junior Doctors" w:value="Junior Doctors"/>
            <w:listItem w:displayText="Qualified Practitioners" w:value="Qualified Practitioners"/>
          </w:dropDownList>
        </w:sdtPr>
        <w:sdtContent>
          <w:r>
            <w:t>Medical Students</w:t>
          </w:r>
        </w:sdtContent>
      </w:sdt>
    </w:p>
    <w:p w14:paraId="7CFCD31B">
      <w:pPr>
        <w:spacing w:line="360" w:lineRule="auto"/>
        <w:rPr>
          <w:rFonts w:eastAsia="等线"/>
          <w:szCs w:val="20"/>
          <w:lang w:val="en-US" w:eastAsia="zh-CN"/>
        </w:rPr>
      </w:pPr>
      <w:r>
        <w:rPr>
          <w:rFonts w:eastAsia="等线"/>
          <w:szCs w:val="20"/>
          <w:lang w:val="en-US" w:eastAsia="zh-CN"/>
        </w:rPr>
        <w:t>A 23-year-old man is brought to the emergency department as the restrained driver of an automobile involved in a high-speed, head-on collision with an 18-wheeler that drifted across the highway divider. According to the paramedics, the front-seat passenger in the patient’s vehicle was found dead at the scene. Extrication of the patient required 30 minutes. His vital signs at the scene were as follows: heart rate 110 beats per minute, blood pressure 90/60 mm Hg, respiratory rate 14 breaths per minute, and Glasgow Coma Scale (GCS) score 6. The paramedics performed endotracheal intubation, placed peripheral intravenous lines, and initiated ventilation and fluid administration during transport to the hospital. His vital signs on arrival at the trauma center include a temperature of 36.2 °C (97.2 °F), heart rate of 112 beats per minute, blood pressure of 88/70 mm Hg, assisted respiratory rate of 20 breaths per minute, and GCS of 6. A forehead hematoma and laceration are visible, and the patient also has multiple facial lacerations with a bony deformity of the left cheek. The breath sounds are diminished on the left chest, and there is soft tissue crepitance in the left anterior chest wall. The abdomen is distended, with diminished bowel sounds. The bony pelvis is stable to palpation. Examination of the extremities reveals a markedly swollen and deformed left thigh, with a 10-cm laceration over the left knee. The peripheral pulses are present in all of the extremities. No spontaneous movements of the lower extremities are noted.</w:t>
      </w:r>
    </w:p>
    <w:p w14:paraId="0A3BBF87">
      <w:pPr>
        <w:spacing w:line="360" w:lineRule="auto"/>
        <w:rPr>
          <w:rFonts w:eastAsia="等线"/>
          <w:b/>
          <w:bCs/>
          <w:color w:val="FF0000"/>
          <w:szCs w:val="20"/>
          <w:lang w:val="en-US" w:eastAsia="zh-CN"/>
        </w:rPr>
      </w:pPr>
      <w:r>
        <w:rPr>
          <w:rFonts w:eastAsia="等线"/>
          <w:b/>
          <w:bCs/>
          <w:color w:val="FF0000"/>
          <w:szCs w:val="20"/>
          <w:lang w:val="en-US" w:eastAsia="zh-CN"/>
        </w:rPr>
        <w:t>Questions</w:t>
      </w:r>
    </w:p>
    <w:p w14:paraId="000F24B7">
      <w:pPr>
        <w:spacing w:line="360" w:lineRule="auto"/>
        <w:rPr>
          <w:rFonts w:eastAsia="等线"/>
          <w:b/>
          <w:bCs/>
          <w:szCs w:val="20"/>
          <w:lang w:val="en-US" w:eastAsia="zh-CN"/>
        </w:rPr>
      </w:pPr>
      <w:bookmarkStart w:id="27" w:name="261183649"/>
      <w:bookmarkEnd w:id="27"/>
      <w:r>
        <w:rPr>
          <w:rFonts w:eastAsia="等线"/>
          <w:b/>
          <w:bCs/>
          <w:szCs w:val="20"/>
          <w:lang w:val="en-US" w:eastAsia="zh-CN"/>
        </w:rPr>
        <w:t>What are your immediate next steps in this patient’s treatment?</w:t>
      </w:r>
    </w:p>
    <w:p w14:paraId="6000384D">
      <w:pPr>
        <w:spacing w:line="360" w:lineRule="auto"/>
        <w:rPr>
          <w:rFonts w:eastAsia="等线"/>
          <w:b/>
          <w:bCs/>
          <w:szCs w:val="20"/>
          <w:lang w:val="en-US" w:eastAsia="zh-CN"/>
        </w:rPr>
      </w:pPr>
      <w:bookmarkStart w:id="28" w:name="261183652"/>
      <w:bookmarkEnd w:id="28"/>
      <w:r>
        <w:rPr>
          <w:rFonts w:eastAsia="等线"/>
          <w:b/>
          <w:bCs/>
          <w:szCs w:val="20"/>
          <w:lang w:val="en-US" w:eastAsia="zh-CN"/>
        </w:rPr>
        <w:t>What are the most likely mechanisms causing this patient’s current clinical picture?</w:t>
      </w:r>
    </w:p>
    <w:p w14:paraId="16E92049">
      <w:pPr>
        <w:spacing w:line="360" w:lineRule="auto"/>
        <w:rPr>
          <w:rFonts w:eastAsia="等线"/>
          <w:b/>
          <w:bCs/>
          <w:color w:val="FF0000"/>
          <w:szCs w:val="20"/>
          <w:lang w:val="en-US" w:eastAsia="zh-CN"/>
        </w:rPr>
      </w:pPr>
      <w:r>
        <w:rPr>
          <w:rFonts w:eastAsia="等线"/>
          <w:b/>
          <w:bCs/>
          <w:color w:val="FF0000"/>
          <w:szCs w:val="20"/>
          <w:lang w:val="en-US" w:eastAsia="zh-CN"/>
        </w:rPr>
        <w:t>Answers</w:t>
      </w:r>
    </w:p>
    <w:p w14:paraId="76C7FC2B">
      <w:pPr>
        <w:spacing w:line="360" w:lineRule="auto"/>
        <w:rPr>
          <w:rFonts w:eastAsia="等线"/>
          <w:szCs w:val="20"/>
          <w:lang w:val="en-US" w:eastAsia="zh-CN"/>
        </w:rPr>
      </w:pPr>
      <w:r>
        <w:rPr>
          <w:rFonts w:eastAsia="等线"/>
          <w:szCs w:val="20"/>
          <w:lang w:val="en-US" w:eastAsia="zh-CN"/>
        </w:rPr>
        <w:t>Answers to Case 6: Blunt Trauma (Multiple)</w:t>
      </w:r>
    </w:p>
    <w:p w14:paraId="41160DC3">
      <w:pPr>
        <w:spacing w:line="360" w:lineRule="auto"/>
        <w:rPr>
          <w:rFonts w:eastAsia="等线"/>
          <w:szCs w:val="20"/>
          <w:lang w:val="en-US" w:eastAsia="zh-CN"/>
        </w:rPr>
      </w:pPr>
      <w:r>
        <w:rPr>
          <w:rFonts w:eastAsia="等线"/>
          <w:b/>
          <w:bCs/>
          <w:szCs w:val="20"/>
          <w:lang w:val="en-US" w:eastAsia="zh-CN"/>
        </w:rPr>
        <w:t>Summary</w:t>
      </w:r>
      <w:r>
        <w:rPr>
          <w:rFonts w:eastAsia="等线"/>
          <w:szCs w:val="20"/>
          <w:lang w:val="en-US" w:eastAsia="zh-CN"/>
        </w:rPr>
        <w:t>: A 23-year-old man presents with</w:t>
      </w:r>
    </w:p>
    <w:p w14:paraId="4A2A84BB">
      <w:pPr>
        <w:spacing w:line="360" w:lineRule="auto"/>
        <w:rPr>
          <w:rFonts w:eastAsia="等线"/>
          <w:szCs w:val="20"/>
          <w:lang w:val="en-US" w:eastAsia="zh-CN"/>
        </w:rPr>
      </w:pPr>
      <w:r>
        <w:rPr>
          <w:rFonts w:eastAsia="等线"/>
          <w:szCs w:val="20"/>
          <w:lang w:val="en-US" w:eastAsia="zh-CN"/>
        </w:rPr>
        <w:t>Injuries from a high-speed motor vehicle collision (MVC)</w:t>
      </w:r>
    </w:p>
    <w:p w14:paraId="2685927F">
      <w:pPr>
        <w:spacing w:line="360" w:lineRule="auto"/>
        <w:rPr>
          <w:rFonts w:eastAsia="等线"/>
          <w:szCs w:val="20"/>
          <w:lang w:val="en-US" w:eastAsia="zh-CN"/>
        </w:rPr>
      </w:pPr>
      <w:r>
        <w:rPr>
          <w:rFonts w:eastAsia="等线"/>
          <w:szCs w:val="20"/>
          <w:lang w:val="en-US" w:eastAsia="zh-CN"/>
        </w:rPr>
        <w:t>Tachycardia, hypotension, and GCS of 6</w:t>
      </w:r>
    </w:p>
    <w:p w14:paraId="7A8BEADA">
      <w:pPr>
        <w:spacing w:line="360" w:lineRule="auto"/>
        <w:rPr>
          <w:rFonts w:eastAsia="等线"/>
          <w:szCs w:val="20"/>
          <w:lang w:val="en-US" w:eastAsia="zh-CN"/>
        </w:rPr>
      </w:pPr>
      <w:r>
        <w:rPr>
          <w:rFonts w:eastAsia="等线"/>
          <w:szCs w:val="20"/>
          <w:lang w:val="en-US" w:eastAsia="zh-CN"/>
        </w:rPr>
        <w:t>Initial assessment suggesting the following injuries: traumatic brain injury, facial fractures, left pneumothorax, intra-abdominal injuries, and left femur fracture</w:t>
      </w:r>
    </w:p>
    <w:p w14:paraId="5A700249">
      <w:pPr>
        <w:spacing w:line="360" w:lineRule="auto"/>
        <w:rPr>
          <w:rFonts w:eastAsia="等线"/>
          <w:szCs w:val="20"/>
          <w:lang w:val="en-US" w:eastAsia="zh-CN"/>
        </w:rPr>
      </w:pPr>
      <w:r>
        <w:rPr>
          <w:rFonts w:eastAsia="等线"/>
          <w:b/>
          <w:bCs/>
          <w:szCs w:val="20"/>
          <w:lang w:val="en-US" w:eastAsia="zh-CN"/>
        </w:rPr>
        <w:t>Immediate next steps:</w:t>
      </w:r>
      <w:r>
        <w:rPr>
          <w:rFonts w:eastAsia="等线"/>
          <w:szCs w:val="20"/>
          <w:lang w:val="en-US" w:eastAsia="zh-CN"/>
        </w:rPr>
        <w:t xml:space="preserve"> Airway is already secured by intubation in the field. Placement of a left chest tube (tube thoracostomy) should be performed to address the suspected left pneumothorax, which should improve his ventilation and hypotension. Ensure that two large-bore intravenous (IV) lines have been placed, followed by administration of IV fluids and blood transfusions to improve circulatory volume.</w:t>
      </w:r>
    </w:p>
    <w:p w14:paraId="2D4EA1C6">
      <w:pPr>
        <w:spacing w:line="360" w:lineRule="auto"/>
        <w:rPr>
          <w:rFonts w:eastAsia="等线"/>
          <w:szCs w:val="20"/>
          <w:lang w:val="en-US" w:eastAsia="zh-CN"/>
        </w:rPr>
      </w:pPr>
      <w:r>
        <w:rPr>
          <w:rFonts w:eastAsia="等线"/>
          <w:b/>
          <w:bCs/>
          <w:szCs w:val="20"/>
          <w:lang w:val="en-US" w:eastAsia="zh-CN"/>
        </w:rPr>
        <w:t>Most likely mechanisms of clinical picture:</w:t>
      </w:r>
      <w:r>
        <w:rPr>
          <w:rFonts w:eastAsia="等线"/>
          <w:szCs w:val="20"/>
          <w:lang w:val="en-US" w:eastAsia="zh-CN"/>
        </w:rPr>
        <w:t xml:space="preserve"> The most likely mechanisms of the tachycardia, hypotension, and unresponsiveness include hemorrhagic shock, left tension pneumothorax, primary cardiac dysfunction, and severe traumatic brain injury (TBI).</w:t>
      </w:r>
    </w:p>
    <w:p w14:paraId="0783F649">
      <w:pPr>
        <w:spacing w:line="360" w:lineRule="auto"/>
        <w:rPr>
          <w:rFonts w:eastAsia="等线"/>
          <w:b/>
          <w:bCs/>
          <w:szCs w:val="20"/>
          <w:lang w:val="en-US" w:eastAsia="zh-CN"/>
        </w:rPr>
      </w:pPr>
      <w:r>
        <w:rPr>
          <w:rFonts w:eastAsia="等线"/>
          <w:b/>
          <w:bCs/>
          <w:szCs w:val="20"/>
          <w:lang w:val="en-US" w:eastAsia="zh-CN"/>
        </w:rPr>
        <w:t>Analysis</w:t>
      </w:r>
    </w:p>
    <w:p w14:paraId="533AF98A">
      <w:pPr>
        <w:spacing w:line="360" w:lineRule="auto"/>
        <w:rPr>
          <w:rFonts w:eastAsia="等线"/>
          <w:szCs w:val="20"/>
          <w:lang w:val="en-US" w:eastAsia="zh-CN"/>
        </w:rPr>
      </w:pPr>
      <w:r>
        <w:rPr>
          <w:rFonts w:eastAsia="等线"/>
          <w:szCs w:val="20"/>
          <w:lang w:val="en-US" w:eastAsia="zh-CN"/>
        </w:rPr>
        <w:t>Objectives</w:t>
      </w:r>
    </w:p>
    <w:p w14:paraId="18840537">
      <w:pPr>
        <w:spacing w:line="360" w:lineRule="auto"/>
        <w:rPr>
          <w:rFonts w:eastAsia="等线"/>
          <w:szCs w:val="20"/>
          <w:lang w:val="en-US" w:eastAsia="zh-CN"/>
        </w:rPr>
      </w:pPr>
      <w:r>
        <w:rPr>
          <w:rFonts w:eastAsia="等线"/>
          <w:szCs w:val="20"/>
          <w:lang w:val="en-US" w:eastAsia="zh-CN"/>
        </w:rPr>
        <w:t>Describe the priorities and principles in the treatment of patients with multiple injuries, including blunt chest injuries, abdominal trauma, TBI, orthopedic injuries, and possible spinal cord injury. (EPA 4, 10)</w:t>
      </w:r>
    </w:p>
    <w:p w14:paraId="1BC8DFE8">
      <w:pPr>
        <w:spacing w:line="360" w:lineRule="auto"/>
        <w:rPr>
          <w:rFonts w:eastAsia="等线"/>
          <w:szCs w:val="20"/>
          <w:lang w:val="en-US" w:eastAsia="zh-CN"/>
        </w:rPr>
      </w:pPr>
    </w:p>
    <w:p w14:paraId="06692AC6">
      <w:pPr>
        <w:spacing w:line="360" w:lineRule="auto"/>
        <w:rPr>
          <w:rFonts w:eastAsia="等线"/>
          <w:szCs w:val="20"/>
          <w:lang w:val="en-US" w:eastAsia="zh-CN"/>
        </w:rPr>
      </w:pPr>
      <w:r>
        <w:rPr>
          <w:rFonts w:eastAsia="等线"/>
          <w:szCs w:val="20"/>
          <w:lang w:val="en-US" w:eastAsia="zh-CN"/>
        </w:rPr>
        <w:t>Describe the causes of hemodynamic instability in a trauma patient and learn methods to diagnose these problems. (EPA 1, 3, 10)</w:t>
      </w:r>
    </w:p>
    <w:p w14:paraId="4382C33C">
      <w:pPr>
        <w:spacing w:line="360" w:lineRule="auto"/>
        <w:rPr>
          <w:rFonts w:eastAsia="等线"/>
          <w:b/>
          <w:bCs/>
          <w:szCs w:val="20"/>
          <w:lang w:val="en-US" w:eastAsia="zh-CN"/>
        </w:rPr>
      </w:pPr>
      <w:r>
        <w:rPr>
          <w:rFonts w:eastAsia="等线"/>
          <w:b/>
          <w:bCs/>
          <w:szCs w:val="20"/>
          <w:lang w:val="en-US" w:eastAsia="zh-CN"/>
        </w:rPr>
        <w:t>Considerations</w:t>
      </w:r>
    </w:p>
    <w:p w14:paraId="36111260">
      <w:pPr>
        <w:spacing w:line="360" w:lineRule="auto"/>
        <w:rPr>
          <w:rFonts w:eastAsia="等线"/>
          <w:szCs w:val="20"/>
          <w:lang w:val="en-US" w:eastAsia="zh-CN"/>
        </w:rPr>
      </w:pPr>
      <w:r>
        <w:rPr>
          <w:rFonts w:eastAsia="等线"/>
          <w:szCs w:val="20"/>
          <w:lang w:val="en-US" w:eastAsia="zh-CN"/>
        </w:rPr>
        <w:t>This young man is brought in with injuries sustained in a high-speed, front-end MVC. He is hypotensive and tachycardic with a GCS of 6. Clinically, his examination is suspicious for left pneumothorax, facial fractures, and a left femur fracture. Intubation, oxygenation, and ventilation are important for a patient with high likelihood of having severe TBI. With the findings of diminished left-sided breath sounds and crepitance (subcutaneous emphysema) in the left chest wall, it is highly likely that the patient has a left pneumothorax and possibly a tension pneumothorax; therefore, immediate pleural decompression with chest tube placement is reasonable without first obtaining a chest x-ray (CXR).</w:t>
      </w:r>
    </w:p>
    <w:p w14:paraId="77A98E8D">
      <w:pPr>
        <w:spacing w:line="360" w:lineRule="auto"/>
        <w:rPr>
          <w:rFonts w:eastAsia="等线"/>
          <w:szCs w:val="20"/>
          <w:lang w:val="en-US" w:eastAsia="zh-CN"/>
        </w:rPr>
      </w:pPr>
      <w:r>
        <w:rPr>
          <w:rFonts w:eastAsia="等线"/>
          <w:szCs w:val="20"/>
          <w:lang w:val="en-US" w:eastAsia="zh-CN"/>
        </w:rPr>
        <w:t>Following chest tube placement, it is important to note if the patient’s breathing and circulation statuses improve with the intervention. If the breath sounds improve and blood pressure remains low, the next step would be to perform a focused abdominal sonography for trauma (FAST) to determine if intra-abdominal hemorrhage is the cause of the hypotension. If the FAST reveals intraperitoneal free fluid, this unstable patient should be immediately taken to the operating room (OR) for exploration and control of bleeding. This should be performed with an abbreviated laparotomy so that a computed tomography (CT) of the brain can be obtained immediately following the control of intra-abdominal bleeding. If the FAST does not reveal evidence of pericardial effusion or intra-abdominal free fluid, we should then presume that the source of low blood pressure is due to blood loss secondary to his lacerations, facial fractures, and long bone fractures. Transfusion with blood products to help support the blood pressure is a reasonable initial treatment in this patient with suspected TBI, as hypotension worsens TBI.</w:t>
      </w:r>
    </w:p>
    <w:p w14:paraId="0BE2459C">
      <w:pPr>
        <w:spacing w:line="360" w:lineRule="auto"/>
        <w:rPr>
          <w:rFonts w:eastAsia="等线"/>
          <w:szCs w:val="20"/>
          <w:lang w:val="en-US" w:eastAsia="zh-CN"/>
        </w:rPr>
      </w:pPr>
      <w:r>
        <w:rPr>
          <w:rFonts w:eastAsia="等线"/>
          <w:szCs w:val="20"/>
          <w:lang w:val="en-US" w:eastAsia="zh-CN"/>
        </w:rPr>
        <w:t>Once the patient’s blood pressure is improved with blood products, our next priority would be to perform CT evaluation of the brain to further assess his TBI. In many institutions, a pan-CT scan (brain, face, cervical spine, chest, abdomen, and pelvis CT) would be performed to identify all the potential injuries and allow prioritization of management. In general, the priorities of injury management go from addressing injuries that affect oxygenation/ventilation, to blood loss, to bony injuries. The possibility that his hypotension is caused by neurogenic shock (from high spinal cord injury) must be considered because the patient has not been witnessed to move his lower extremities following his injuries. However, the patient’s current tachycardia is not consistent with the diagnosis of neurogenic shock.</w:t>
      </w:r>
    </w:p>
    <w:p w14:paraId="3A1B99BC">
      <w:pPr>
        <w:spacing w:line="360" w:lineRule="auto"/>
        <w:rPr>
          <w:rFonts w:eastAsia="等线"/>
          <w:b/>
          <w:bCs/>
          <w:color w:val="FF0000"/>
          <w:szCs w:val="20"/>
          <w:lang w:eastAsia="zh-CN"/>
        </w:rPr>
      </w:pPr>
      <w:r>
        <w:rPr>
          <w:rFonts w:eastAsia="等线"/>
          <w:b/>
          <w:bCs/>
          <w:color w:val="FF0000"/>
          <w:szCs w:val="20"/>
          <w:lang w:eastAsia="zh-CN"/>
        </w:rPr>
        <w:t>Clinical Approach</w:t>
      </w:r>
    </w:p>
    <w:p w14:paraId="5FA23471">
      <w:pPr>
        <w:spacing w:line="360" w:lineRule="auto"/>
        <w:rPr>
          <w:rFonts w:eastAsia="等线"/>
          <w:b/>
          <w:bCs/>
          <w:szCs w:val="20"/>
          <w:lang w:val="en-US" w:eastAsia="zh-CN"/>
        </w:rPr>
      </w:pPr>
      <w:r>
        <w:rPr>
          <w:rFonts w:eastAsia="等线"/>
          <w:b/>
          <w:bCs/>
          <w:szCs w:val="20"/>
          <w:lang w:val="en-US" w:eastAsia="zh-CN"/>
        </w:rPr>
        <w:t>Definitions</w:t>
      </w:r>
    </w:p>
    <w:p w14:paraId="6CC2B31C">
      <w:pPr>
        <w:numPr>
          <w:ilvl w:val="0"/>
          <w:numId w:val="10"/>
        </w:numPr>
        <w:spacing w:line="360" w:lineRule="auto"/>
        <w:rPr>
          <w:rFonts w:eastAsia="等线"/>
          <w:szCs w:val="20"/>
          <w:lang w:val="en-US" w:eastAsia="zh-CN"/>
        </w:rPr>
      </w:pPr>
      <w:bookmarkStart w:id="29" w:name="258575030"/>
      <w:bookmarkEnd w:id="29"/>
      <w:bookmarkStart w:id="30" w:name="258575031"/>
      <w:bookmarkEnd w:id="30"/>
      <w:r>
        <w:rPr>
          <w:rFonts w:eastAsia="等线"/>
          <w:b/>
          <w:bCs/>
          <w:szCs w:val="20"/>
          <w:lang w:val="en-US" w:eastAsia="zh-CN"/>
        </w:rPr>
        <w:t>ABDOMINAL COMPUTED TOMOGRAPHY (CT) SCAN:</w:t>
      </w:r>
      <w:r>
        <w:rPr>
          <w:rFonts w:eastAsia="等线"/>
          <w:szCs w:val="20"/>
          <w:lang w:val="en-US" w:eastAsia="zh-CN"/>
        </w:rPr>
        <w:t> Sensitive and specific modality for solid organ injuries, retroperitoneal injuries, and peritoneal fluid in blunt trauma. Contraindicated for unstable trauma patients.</w:t>
      </w:r>
    </w:p>
    <w:p w14:paraId="045E193C">
      <w:pPr>
        <w:numPr>
          <w:ilvl w:val="0"/>
          <w:numId w:val="10"/>
        </w:numPr>
        <w:spacing w:line="360" w:lineRule="auto"/>
        <w:rPr>
          <w:rFonts w:eastAsia="等线"/>
          <w:szCs w:val="20"/>
          <w:lang w:val="en-US" w:eastAsia="zh-CN"/>
        </w:rPr>
      </w:pPr>
      <w:r>
        <w:rPr>
          <w:rFonts w:eastAsia="等线"/>
          <w:b/>
          <w:bCs/>
          <w:szCs w:val="20"/>
          <w:lang w:val="en-US" w:eastAsia="zh-CN"/>
        </w:rPr>
        <w:t>DIAGNOSTIC PERITONEAL LAVAGE (DPL):</w:t>
      </w:r>
      <w:r>
        <w:rPr>
          <w:rFonts w:eastAsia="等线"/>
          <w:szCs w:val="20"/>
          <w:lang w:val="en-US" w:eastAsia="zh-CN"/>
        </w:rPr>
        <w:t> Bedside diagnostic procedure during secondary survey in unstable patients assessing for intra-abdominal bleeding. A positive test involves greater than 10 mL of blood or enteric contents. DPL has high sensitivity but low specificity; currently, the focused abdominal sonography for trauma (FAST) exam is used more than DPL.</w:t>
      </w:r>
    </w:p>
    <w:p w14:paraId="28FAC12E">
      <w:pPr>
        <w:numPr>
          <w:ilvl w:val="0"/>
          <w:numId w:val="10"/>
        </w:numPr>
        <w:spacing w:line="360" w:lineRule="auto"/>
        <w:rPr>
          <w:rFonts w:eastAsia="等线"/>
          <w:szCs w:val="20"/>
          <w:lang w:val="en-US" w:eastAsia="zh-CN"/>
        </w:rPr>
      </w:pPr>
      <w:r>
        <w:rPr>
          <w:rFonts w:eastAsia="等线"/>
          <w:b/>
          <w:bCs/>
          <w:szCs w:val="20"/>
          <w:lang w:val="en-US" w:eastAsia="zh-CN"/>
        </w:rPr>
        <w:t>FOCUSED ABDOMINAL SONOGRAPHY FOR TRAUMA (FAST):</w:t>
      </w:r>
      <w:r>
        <w:rPr>
          <w:rFonts w:eastAsia="等线"/>
          <w:szCs w:val="20"/>
          <w:lang w:val="en-US" w:eastAsia="zh-CN"/>
        </w:rPr>
        <w:t> Rapid ultrasound exam after primary survey, assessing for pericardial effusion and intra-abdominal free fluid. Four areas are evaluated: pericardial, right upper quadrant subhepatic, left upper quadrant perisplenic, and pelvic regions. This is especially helpful in hemodynamically unstable, multiple-trauma patients.</w:t>
      </w:r>
    </w:p>
    <w:p w14:paraId="36D1C5E6">
      <w:pPr>
        <w:numPr>
          <w:ilvl w:val="0"/>
          <w:numId w:val="10"/>
        </w:numPr>
        <w:spacing w:line="360" w:lineRule="auto"/>
        <w:rPr>
          <w:rFonts w:eastAsia="等线"/>
          <w:szCs w:val="20"/>
          <w:lang w:val="en-US" w:eastAsia="zh-CN"/>
        </w:rPr>
      </w:pPr>
      <w:r>
        <w:rPr>
          <w:rFonts w:eastAsia="等线"/>
          <w:b/>
          <w:bCs/>
          <w:szCs w:val="20"/>
          <w:lang w:val="en-US" w:eastAsia="zh-CN"/>
        </w:rPr>
        <w:t>PAN-CT SCAN:</w:t>
      </w:r>
      <w:r>
        <w:rPr>
          <w:rFonts w:eastAsia="等线"/>
          <w:szCs w:val="20"/>
          <w:lang w:val="en-US" w:eastAsia="zh-CN"/>
        </w:rPr>
        <w:t> CT imaging of brain, cervical spine, chest, abdomen, and pelvis.</w:t>
      </w:r>
    </w:p>
    <w:p w14:paraId="28A1C745">
      <w:pPr>
        <w:spacing w:line="360" w:lineRule="auto"/>
        <w:rPr>
          <w:rFonts w:eastAsia="等线"/>
          <w:b/>
          <w:bCs/>
          <w:szCs w:val="20"/>
          <w:lang w:val="en-US" w:eastAsia="zh-CN"/>
        </w:rPr>
      </w:pPr>
      <w:r>
        <w:rPr>
          <w:rFonts w:eastAsia="等线"/>
          <w:b/>
          <w:bCs/>
          <w:szCs w:val="20"/>
          <w:lang w:val="en-US" w:eastAsia="zh-CN"/>
        </w:rPr>
        <w:t>Clinical Approach</w:t>
      </w:r>
    </w:p>
    <w:p w14:paraId="61667D2D">
      <w:pPr>
        <w:spacing w:line="360" w:lineRule="auto"/>
        <w:rPr>
          <w:rFonts w:eastAsia="等线"/>
          <w:b/>
          <w:bCs/>
          <w:szCs w:val="20"/>
          <w:lang w:val="en-US" w:eastAsia="zh-CN"/>
        </w:rPr>
      </w:pPr>
      <w:bookmarkStart w:id="31" w:name="258575032"/>
      <w:bookmarkEnd w:id="31"/>
      <w:r>
        <w:rPr>
          <w:rFonts w:eastAsia="等线"/>
          <w:b/>
          <w:bCs/>
          <w:szCs w:val="20"/>
          <w:lang w:val="en-US" w:eastAsia="zh-CN"/>
        </w:rPr>
        <w:t>Primary and Secondary Surveys</w:t>
      </w:r>
    </w:p>
    <w:p w14:paraId="33DD22C1">
      <w:pPr>
        <w:spacing w:line="360" w:lineRule="auto"/>
        <w:rPr>
          <w:rFonts w:eastAsia="等线"/>
          <w:b/>
          <w:bCs/>
          <w:szCs w:val="20"/>
          <w:lang w:val="en-US" w:eastAsia="zh-CN"/>
        </w:rPr>
      </w:pPr>
      <w:bookmarkStart w:id="32" w:name="258575033"/>
      <w:bookmarkEnd w:id="32"/>
      <w:r>
        <w:rPr>
          <w:rFonts w:eastAsia="等线"/>
          <w:b/>
          <w:bCs/>
          <w:szCs w:val="20"/>
          <w:lang w:val="en-US" w:eastAsia="zh-CN"/>
        </w:rPr>
        <w:t>Primary Survey</w:t>
      </w:r>
    </w:p>
    <w:p w14:paraId="458B262C">
      <w:pPr>
        <w:spacing w:line="360" w:lineRule="auto"/>
        <w:rPr>
          <w:rFonts w:eastAsia="等线"/>
          <w:szCs w:val="20"/>
          <w:lang w:val="en-US" w:eastAsia="zh-CN"/>
        </w:rPr>
      </w:pPr>
      <w:bookmarkStart w:id="33" w:name="258575035"/>
      <w:bookmarkEnd w:id="33"/>
      <w:bookmarkStart w:id="34" w:name="258575034"/>
      <w:bookmarkEnd w:id="34"/>
      <w:r>
        <w:rPr>
          <w:rFonts w:eastAsia="等线"/>
          <w:szCs w:val="20"/>
          <w:lang w:val="en-US" w:eastAsia="zh-CN"/>
        </w:rPr>
        <w:t>The initial treatment begins with </w:t>
      </w:r>
      <w:r>
        <w:rPr>
          <w:rFonts w:eastAsia="等线"/>
          <w:b/>
          <w:bCs/>
          <w:szCs w:val="20"/>
          <w:lang w:val="en-US" w:eastAsia="zh-CN"/>
        </w:rPr>
        <w:t>a primary survey consisting of airway (A), breathing (B), circulation (C), and disability (D) assessment</w:t>
      </w:r>
      <w:r>
        <w:rPr>
          <w:rFonts w:eastAsia="等线"/>
          <w:szCs w:val="20"/>
          <w:lang w:val="en-US" w:eastAsia="zh-CN"/>
        </w:rPr>
        <w:t> </w:t>
      </w:r>
      <w:r>
        <w:rPr>
          <w:rFonts w:eastAsia="等线"/>
          <w:b/>
          <w:bCs/>
          <w:szCs w:val="20"/>
          <w:lang w:val="en-US" w:eastAsia="zh-CN"/>
        </w:rPr>
        <w:t>and exposure (E)</w:t>
      </w:r>
      <w:r>
        <w:rPr>
          <w:rFonts w:eastAsia="等线"/>
          <w:szCs w:val="20"/>
          <w:lang w:val="en-US" w:eastAsia="zh-CN"/>
        </w:rPr>
        <w:t> optimization that are commonly referred to as the ABCs. The primary survey focuses on immediate life-threatening problems, which should be promptly identified and treated.</w:t>
      </w:r>
    </w:p>
    <w:p w14:paraId="06443A95">
      <w:pPr>
        <w:spacing w:line="360" w:lineRule="auto"/>
        <w:rPr>
          <w:rFonts w:eastAsia="等线"/>
          <w:b/>
          <w:bCs/>
          <w:szCs w:val="20"/>
          <w:lang w:val="en-US" w:eastAsia="zh-CN"/>
        </w:rPr>
      </w:pPr>
      <w:r>
        <w:rPr>
          <w:rFonts w:eastAsia="等线"/>
          <w:b/>
          <w:bCs/>
          <w:szCs w:val="20"/>
          <w:lang w:val="en-US" w:eastAsia="zh-CN"/>
        </w:rPr>
        <w:t>Secondary Survey</w:t>
      </w:r>
    </w:p>
    <w:p w14:paraId="02881C62">
      <w:pPr>
        <w:spacing w:line="360" w:lineRule="auto"/>
        <w:rPr>
          <w:rFonts w:eastAsia="等线"/>
          <w:szCs w:val="20"/>
          <w:lang w:val="en-US" w:eastAsia="zh-CN"/>
        </w:rPr>
      </w:pPr>
      <w:bookmarkStart w:id="35" w:name="258575036"/>
      <w:bookmarkEnd w:id="35"/>
      <w:bookmarkStart w:id="36" w:name="258575037"/>
      <w:bookmarkEnd w:id="36"/>
      <w:r>
        <w:rPr>
          <w:rFonts w:eastAsia="等线"/>
          <w:szCs w:val="20"/>
          <w:lang w:val="en-US" w:eastAsia="zh-CN"/>
        </w:rPr>
        <w:t>Once the ABCs are addressed satisfactorily, a </w:t>
      </w:r>
      <w:r>
        <w:rPr>
          <w:rFonts w:eastAsia="等线"/>
          <w:b/>
          <w:bCs/>
          <w:szCs w:val="20"/>
          <w:lang w:val="en-US" w:eastAsia="zh-CN"/>
        </w:rPr>
        <w:t>secondary survey</w:t>
      </w:r>
      <w:r>
        <w:rPr>
          <w:rFonts w:eastAsia="等线"/>
          <w:szCs w:val="20"/>
          <w:lang w:val="en-US" w:eastAsia="zh-CN"/>
        </w:rPr>
        <w:t> is conducted via a </w:t>
      </w:r>
      <w:r>
        <w:rPr>
          <w:rFonts w:eastAsia="等线"/>
          <w:b/>
          <w:bCs/>
          <w:szCs w:val="20"/>
          <w:lang w:val="en-US" w:eastAsia="zh-CN"/>
        </w:rPr>
        <w:t>head-to-toe examination and inventory of all injuries.</w:t>
      </w:r>
      <w:r>
        <w:rPr>
          <w:rFonts w:eastAsia="等线"/>
          <w:szCs w:val="20"/>
          <w:lang w:val="en-US" w:eastAsia="zh-CN"/>
        </w:rPr>
        <w:t> If needed, a nasogastric tube and urinary catheter are placed at the end of the secondary survey. In the multiple-injury patient, an anterior-posterior (AP) chest x-ray and an AP pelvis x-ray can be helpful to identify conditions that may need immediate attention. For patients who are stable and without injuries in the chest or abdomen that require immediate attention, the next step would be to obtain CT evaluations to rule out traumatic brain injury (TBI), spine injuries, and intrathoracic and intra-abdominal injuries. </w:t>
      </w:r>
      <w:r>
        <w:fldChar w:fldCharType="begin"/>
      </w:r>
      <w:r>
        <w:instrText xml:space="preserve"> HYPERLINK "https://casefiles.mhmedical.com/CaseContent.aspx?gbosID=568844&amp;gbosContainerID=270&amp;viewByNumber=false&amp;groupid=0" \l "casefiles.surgery6e_cs6tb1" </w:instrText>
      </w:r>
      <w:r>
        <w:fldChar w:fldCharType="separate"/>
      </w:r>
      <w:r>
        <w:rPr>
          <w:rStyle w:val="17"/>
          <w:rFonts w:eastAsia="等线"/>
          <w:szCs w:val="20"/>
          <w:lang w:val="en-US" w:eastAsia="zh-CN"/>
        </w:rPr>
        <w:t>Table 6–1</w:t>
      </w:r>
      <w:r>
        <w:rPr>
          <w:rStyle w:val="17"/>
          <w:rFonts w:eastAsia="等线"/>
          <w:szCs w:val="20"/>
          <w:lang w:val="en-US" w:eastAsia="zh-CN"/>
        </w:rPr>
        <w:fldChar w:fldCharType="end"/>
      </w:r>
      <w:r>
        <w:rPr>
          <w:rFonts w:eastAsia="等线"/>
          <w:szCs w:val="20"/>
          <w:lang w:val="en-US" w:eastAsia="zh-CN"/>
        </w:rPr>
        <w:t> outlines some possible causes of instability and their management options.</w:t>
      </w:r>
    </w:p>
    <w:p w14:paraId="3AB57C32">
      <w:pPr>
        <w:spacing w:line="360" w:lineRule="auto"/>
        <w:rPr>
          <w:rFonts w:eastAsia="等线"/>
          <w:b/>
          <w:bCs/>
          <w:szCs w:val="20"/>
          <w:lang w:val="en-US" w:eastAsia="zh-CN"/>
        </w:rPr>
      </w:pPr>
      <w:r>
        <w:rPr>
          <w:rFonts w:eastAsia="等线"/>
          <w:b/>
          <w:bCs/>
          <w:szCs w:val="20"/>
          <w:lang w:val="en-US" w:eastAsia="zh-CN"/>
        </w:rPr>
        <w:t>CAUSES OF INSTABILITY AND TREATMENT</w:t>
      </w:r>
    </w:p>
    <w:p w14:paraId="5AA57A36">
      <w:pPr>
        <w:spacing w:line="360" w:lineRule="auto"/>
        <w:rPr>
          <w:rFonts w:eastAsia="等线"/>
          <w:b/>
          <w:bCs/>
          <w:szCs w:val="20"/>
          <w:lang w:val="en-US" w:eastAsia="zh-CN"/>
        </w:rPr>
      </w:pPr>
      <w:r>
        <w:drawing>
          <wp:inline distT="0" distB="0" distL="0" distR="0">
            <wp:extent cx="5731510" cy="3469005"/>
            <wp:effectExtent l="0" t="0" r="2540" b="0"/>
            <wp:docPr id="12141584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158474" name="Picture 1"/>
                    <pic:cNvPicPr>
                      <a:picLocks noChangeAspect="1"/>
                    </pic:cNvPicPr>
                  </pic:nvPicPr>
                  <pic:blipFill>
                    <a:blip r:embed="rId8"/>
                    <a:stretch>
                      <a:fillRect/>
                    </a:stretch>
                  </pic:blipFill>
                  <pic:spPr>
                    <a:xfrm>
                      <a:off x="0" y="0"/>
                      <a:ext cx="5731510" cy="3469005"/>
                    </a:xfrm>
                    <a:prstGeom prst="rect">
                      <a:avLst/>
                    </a:prstGeom>
                  </pic:spPr>
                </pic:pic>
              </a:graphicData>
            </a:graphic>
          </wp:inline>
        </w:drawing>
      </w:r>
    </w:p>
    <w:p w14:paraId="0F9F8223">
      <w:pPr>
        <w:spacing w:line="360" w:lineRule="auto"/>
        <w:rPr>
          <w:rFonts w:eastAsia="等线"/>
          <w:szCs w:val="20"/>
          <w:lang w:val="en-US" w:eastAsia="zh-CN"/>
        </w:rPr>
      </w:pPr>
      <w:bookmarkStart w:id="37" w:name="258575038"/>
      <w:bookmarkEnd w:id="37"/>
      <w:r>
        <w:rPr>
          <w:rFonts w:eastAsia="等线"/>
          <w:szCs w:val="20"/>
          <w:lang w:val="en-US" w:eastAsia="zh-CN"/>
        </w:rPr>
        <w:t>Table 6–1</w:t>
      </w:r>
      <w:r>
        <w:rPr>
          <w:rFonts w:eastAsia="等线"/>
          <w:b/>
          <w:bCs/>
          <w:szCs w:val="20"/>
          <w:lang w:val="en-US" w:eastAsia="zh-CN"/>
        </w:rPr>
        <w:t>CAUSES OF INSTABILITY AND TREATMENT</w:t>
      </w:r>
    </w:p>
    <w:p w14:paraId="6C2BDCE8">
      <w:pPr>
        <w:spacing w:line="360" w:lineRule="auto"/>
        <w:rPr>
          <w:rFonts w:eastAsia="等线"/>
          <w:szCs w:val="20"/>
          <w:lang w:val="en-US" w:eastAsia="zh-CN"/>
        </w:rPr>
      </w:pPr>
      <w:bookmarkStart w:id="38" w:name="casefiles.surgery6e_cs6fn8"/>
      <w:bookmarkEnd w:id="38"/>
      <w:r>
        <w:rPr>
          <w:rFonts w:eastAsia="等线"/>
          <w:i/>
          <w:iCs/>
          <w:szCs w:val="20"/>
          <w:lang w:val="en-US" w:eastAsia="zh-CN"/>
        </w:rPr>
        <w:t>Abbreviations: FAST, focused abdominal sonography for trauma; OR, operating room</w:t>
      </w:r>
      <w:r>
        <w:rPr>
          <w:rFonts w:eastAsia="等线"/>
          <w:szCs w:val="20"/>
          <w:lang w:val="en-US" w:eastAsia="zh-CN"/>
        </w:rPr>
        <w:t>.</w:t>
      </w:r>
    </w:p>
    <w:p w14:paraId="69C6ABE9">
      <w:pPr>
        <w:spacing w:line="360" w:lineRule="auto"/>
        <w:rPr>
          <w:rFonts w:eastAsia="等线"/>
          <w:szCs w:val="20"/>
          <w:lang w:val="en-US" w:eastAsia="zh-CN"/>
        </w:rPr>
      </w:pPr>
      <w:bookmarkStart w:id="39" w:name="258575039"/>
      <w:bookmarkEnd w:id="39"/>
      <w:r>
        <w:rPr>
          <w:rFonts w:eastAsia="等线"/>
          <w:szCs w:val="20"/>
          <w:lang w:val="en-US" w:eastAsia="zh-CN"/>
        </w:rPr>
        <w:t>Whenever a trauma patient has a significant change in clinical condition, the ABCs should be reevaluated and an etiology for the clinical deterioration should be sought. If a patient has ongoing bleeding, TBI, and orthopedic injuries, the bleeding source needs to be addressed first, the TBI second, and the orthopedic injuries last. Generally, the treatment of major orthopedic injuries not associated with significant bleeding can be delayed for an initial period of stabilization for 24 to 48 hours. Many hemodynamically stable patients with hemoperitoneum, liver, spleen, or kidney injuries can be successfully managed by nonoperative management with close monitoring.</w:t>
      </w:r>
    </w:p>
    <w:p w14:paraId="05BDFEC3">
      <w:pPr>
        <w:spacing w:line="360" w:lineRule="auto"/>
        <w:rPr>
          <w:rFonts w:eastAsia="等线"/>
          <w:b/>
          <w:bCs/>
          <w:szCs w:val="20"/>
          <w:lang w:val="en-US" w:eastAsia="zh-CN"/>
        </w:rPr>
      </w:pPr>
      <w:r>
        <w:rPr>
          <w:rFonts w:eastAsia="等线"/>
          <w:b/>
          <w:bCs/>
          <w:szCs w:val="20"/>
          <w:lang w:val="en-US" w:eastAsia="zh-CN"/>
        </w:rPr>
        <w:t>Indications for Emergency Surgical Intervention</w:t>
      </w:r>
    </w:p>
    <w:p w14:paraId="64E32EA4">
      <w:pPr>
        <w:spacing w:line="360" w:lineRule="auto"/>
        <w:rPr>
          <w:rFonts w:eastAsia="等线"/>
          <w:szCs w:val="20"/>
          <w:lang w:val="en-US" w:eastAsia="zh-CN"/>
        </w:rPr>
      </w:pPr>
      <w:bookmarkStart w:id="40" w:name="258575040"/>
      <w:bookmarkEnd w:id="40"/>
      <w:bookmarkStart w:id="41" w:name="258575041"/>
      <w:bookmarkEnd w:id="41"/>
      <w:r>
        <w:rPr>
          <w:rFonts w:eastAsia="等线"/>
          <w:szCs w:val="20"/>
          <w:lang w:val="en-US" w:eastAsia="zh-CN"/>
        </w:rPr>
        <w:t>A patient who presents with multiple blunt trauma injuries is complex and requires vigilant and continued observation. Indications for immediate surgical exploration include:</w:t>
      </w:r>
    </w:p>
    <w:p w14:paraId="7A81456E">
      <w:pPr>
        <w:numPr>
          <w:ilvl w:val="0"/>
          <w:numId w:val="11"/>
        </w:numPr>
        <w:spacing w:line="360" w:lineRule="auto"/>
        <w:rPr>
          <w:rFonts w:eastAsia="等线"/>
          <w:szCs w:val="20"/>
          <w:lang w:val="en-US" w:eastAsia="zh-CN"/>
        </w:rPr>
      </w:pPr>
      <w:bookmarkStart w:id="42" w:name="258575042"/>
      <w:bookmarkEnd w:id="42"/>
      <w:r>
        <w:rPr>
          <w:rFonts w:eastAsia="等线"/>
          <w:szCs w:val="20"/>
          <w:lang w:val="en-US" w:eastAsia="zh-CN"/>
        </w:rPr>
        <w:t>Peritonitis</w:t>
      </w:r>
    </w:p>
    <w:p w14:paraId="4C5196D4">
      <w:pPr>
        <w:numPr>
          <w:ilvl w:val="0"/>
          <w:numId w:val="11"/>
        </w:numPr>
        <w:spacing w:line="360" w:lineRule="auto"/>
        <w:rPr>
          <w:rFonts w:eastAsia="等线"/>
          <w:szCs w:val="20"/>
          <w:lang w:val="en-US" w:eastAsia="zh-CN"/>
        </w:rPr>
      </w:pPr>
      <w:r>
        <w:rPr>
          <w:rFonts w:eastAsia="等线"/>
          <w:szCs w:val="20"/>
          <w:lang w:val="en-US" w:eastAsia="zh-CN"/>
        </w:rPr>
        <w:t>Pneumoperitoneum</w:t>
      </w:r>
    </w:p>
    <w:p w14:paraId="7114253E">
      <w:pPr>
        <w:numPr>
          <w:ilvl w:val="0"/>
          <w:numId w:val="11"/>
        </w:numPr>
        <w:spacing w:line="360" w:lineRule="auto"/>
        <w:rPr>
          <w:rFonts w:eastAsia="等线"/>
          <w:szCs w:val="20"/>
          <w:lang w:val="en-US" w:eastAsia="zh-CN"/>
        </w:rPr>
      </w:pPr>
      <w:r>
        <w:rPr>
          <w:rFonts w:eastAsia="等线"/>
          <w:szCs w:val="20"/>
          <w:lang w:val="en-US" w:eastAsia="zh-CN"/>
        </w:rPr>
        <w:t>Evidence of diaphragmatic defect</w:t>
      </w:r>
    </w:p>
    <w:p w14:paraId="2CE5C0BF">
      <w:pPr>
        <w:numPr>
          <w:ilvl w:val="0"/>
          <w:numId w:val="11"/>
        </w:numPr>
        <w:spacing w:line="360" w:lineRule="auto"/>
        <w:rPr>
          <w:rFonts w:eastAsia="等线"/>
          <w:szCs w:val="20"/>
          <w:lang w:val="en-US" w:eastAsia="zh-CN"/>
        </w:rPr>
      </w:pPr>
      <w:r>
        <w:rPr>
          <w:rFonts w:eastAsia="等线"/>
          <w:szCs w:val="20"/>
          <w:lang w:val="en-US" w:eastAsia="zh-CN"/>
        </w:rPr>
        <w:t>Gross blood from the stomach or rectum</w:t>
      </w:r>
    </w:p>
    <w:p w14:paraId="052037BB">
      <w:pPr>
        <w:numPr>
          <w:ilvl w:val="0"/>
          <w:numId w:val="11"/>
        </w:numPr>
        <w:spacing w:line="360" w:lineRule="auto"/>
        <w:rPr>
          <w:rFonts w:eastAsia="等线"/>
          <w:szCs w:val="20"/>
          <w:lang w:val="en-US" w:eastAsia="zh-CN"/>
        </w:rPr>
      </w:pPr>
      <w:r>
        <w:rPr>
          <w:rFonts w:eastAsia="等线"/>
          <w:szCs w:val="20"/>
          <w:lang w:val="en-US" w:eastAsia="zh-CN"/>
        </w:rPr>
        <w:t>Positive FAST scan, especially in an unstable patient</w:t>
      </w:r>
    </w:p>
    <w:p w14:paraId="4006BA54">
      <w:pPr>
        <w:numPr>
          <w:ilvl w:val="1"/>
          <w:numId w:val="11"/>
        </w:numPr>
        <w:spacing w:line="360" w:lineRule="auto"/>
        <w:rPr>
          <w:rFonts w:eastAsia="等线"/>
          <w:szCs w:val="20"/>
          <w:lang w:val="en-US" w:eastAsia="zh-CN"/>
        </w:rPr>
      </w:pPr>
      <w:r>
        <w:rPr>
          <w:rFonts w:eastAsia="等线"/>
          <w:szCs w:val="20"/>
          <w:lang w:val="en-US" w:eastAsia="zh-CN"/>
        </w:rPr>
        <w:t>Note: Stable patients with positive FAST scan often have CT imaging to assess internal injuries</w:t>
      </w:r>
    </w:p>
    <w:p w14:paraId="5D270799">
      <w:pPr>
        <w:numPr>
          <w:ilvl w:val="0"/>
          <w:numId w:val="11"/>
        </w:numPr>
        <w:spacing w:line="360" w:lineRule="auto"/>
        <w:rPr>
          <w:rFonts w:eastAsia="等线"/>
          <w:szCs w:val="20"/>
          <w:lang w:val="en-US" w:eastAsia="zh-CN"/>
        </w:rPr>
      </w:pPr>
      <w:r>
        <w:rPr>
          <w:rFonts w:eastAsia="等线"/>
          <w:szCs w:val="20"/>
          <w:lang w:val="en-US" w:eastAsia="zh-CN"/>
        </w:rPr>
        <w:t>Hemodynamic instability after initial resuscitation</w:t>
      </w:r>
    </w:p>
    <w:p w14:paraId="3D5B65AE">
      <w:pPr>
        <w:spacing w:line="360" w:lineRule="auto"/>
        <w:rPr>
          <w:rFonts w:eastAsia="等线"/>
          <w:b/>
          <w:bCs/>
          <w:szCs w:val="20"/>
          <w:lang w:val="en-US" w:eastAsia="zh-CN"/>
        </w:rPr>
      </w:pPr>
      <w:r>
        <w:rPr>
          <w:rFonts w:eastAsia="等线"/>
          <w:b/>
          <w:bCs/>
          <w:szCs w:val="20"/>
          <w:lang w:val="en-US" w:eastAsia="zh-CN"/>
        </w:rPr>
        <w:t>Case Correlation</w:t>
      </w:r>
    </w:p>
    <w:p w14:paraId="765889AB">
      <w:pPr>
        <w:numPr>
          <w:ilvl w:val="0"/>
          <w:numId w:val="12"/>
        </w:numPr>
        <w:spacing w:line="360" w:lineRule="auto"/>
        <w:rPr>
          <w:rFonts w:eastAsia="等线"/>
          <w:szCs w:val="20"/>
          <w:lang w:val="en-US" w:eastAsia="zh-CN"/>
        </w:rPr>
      </w:pPr>
      <w:bookmarkStart w:id="43" w:name="258575044"/>
      <w:bookmarkEnd w:id="43"/>
      <w:bookmarkStart w:id="44" w:name="258575043"/>
      <w:bookmarkEnd w:id="44"/>
      <w:r>
        <w:rPr>
          <w:rFonts w:eastAsia="等线"/>
          <w:szCs w:val="20"/>
          <w:lang w:val="en-US" w:eastAsia="zh-CN"/>
        </w:rPr>
        <w:t>See also Case 5 (Blunt Chest Trauma) and Case 7 (Hemorrhagic Shock and Patient Safety).</w:t>
      </w:r>
    </w:p>
    <w:p w14:paraId="77DE5EA6">
      <w:pPr>
        <w:spacing w:line="360" w:lineRule="auto"/>
        <w:rPr>
          <w:rFonts w:eastAsia="等线"/>
          <w:b/>
          <w:bCs/>
          <w:color w:val="FF0000"/>
          <w:szCs w:val="20"/>
          <w:lang w:val="en-US" w:eastAsia="zh-CN"/>
        </w:rPr>
      </w:pPr>
      <w:r>
        <w:rPr>
          <w:rFonts w:eastAsia="等线"/>
          <w:b/>
          <w:bCs/>
          <w:color w:val="FF0000"/>
          <w:szCs w:val="20"/>
          <w:lang w:val="en-US" w:eastAsia="zh-CN"/>
        </w:rPr>
        <w:t>Clinical Pearls</w:t>
      </w:r>
    </w:p>
    <w:p w14:paraId="1FD48EA1">
      <w:pPr>
        <w:numPr>
          <w:ilvl w:val="0"/>
          <w:numId w:val="12"/>
        </w:numPr>
        <w:spacing w:line="360" w:lineRule="auto"/>
        <w:rPr>
          <w:rFonts w:eastAsia="等线"/>
          <w:szCs w:val="20"/>
          <w:lang w:val="en-US" w:eastAsia="zh-CN"/>
        </w:rPr>
      </w:pPr>
      <w:r>
        <w:rPr>
          <w:rFonts w:eastAsia="等线"/>
          <w:szCs w:val="20"/>
          <w:lang w:val="en-US" w:eastAsia="zh-CN"/>
        </w:rPr>
        <w:t>Airway, breathing, and circulation should be reassessed whenever clinical deterioration develops in a trauma patient.</w:t>
      </w:r>
    </w:p>
    <w:p w14:paraId="38707EDF">
      <w:pPr>
        <w:numPr>
          <w:ilvl w:val="0"/>
          <w:numId w:val="12"/>
        </w:numPr>
        <w:spacing w:line="360" w:lineRule="auto"/>
        <w:rPr>
          <w:rFonts w:eastAsia="等线"/>
          <w:szCs w:val="20"/>
          <w:lang w:val="en-US" w:eastAsia="zh-CN"/>
        </w:rPr>
      </w:pPr>
      <w:r>
        <w:rPr>
          <w:rFonts w:eastAsia="等线"/>
          <w:szCs w:val="20"/>
          <w:lang w:val="en-US" w:eastAsia="zh-CN"/>
        </w:rPr>
        <w:t>Obtaining a detailed description of the traumatic event helps identify the injury mechanism and direct the evaluation process.</w:t>
      </w:r>
    </w:p>
    <w:p w14:paraId="4EBFF652">
      <w:pPr>
        <w:numPr>
          <w:ilvl w:val="0"/>
          <w:numId w:val="12"/>
        </w:numPr>
        <w:spacing w:line="360" w:lineRule="auto"/>
        <w:rPr>
          <w:rFonts w:eastAsia="等线"/>
          <w:szCs w:val="20"/>
          <w:lang w:val="en-US" w:eastAsia="zh-CN"/>
        </w:rPr>
      </w:pPr>
      <w:r>
        <w:rPr>
          <w:rFonts w:eastAsia="等线"/>
          <w:szCs w:val="20"/>
          <w:lang w:val="en-US" w:eastAsia="zh-CN"/>
        </w:rPr>
        <w:t>Traumatic brain injury (TBI) is rarely the cause of hemodynamic instability in a trauma patient; therefore, the evaluation should be directed toward identification of a bleeding source or mechanical source (eg, tension pneumothorax).</w:t>
      </w:r>
    </w:p>
    <w:p w14:paraId="3559824E">
      <w:pPr>
        <w:numPr>
          <w:ilvl w:val="0"/>
          <w:numId w:val="12"/>
        </w:numPr>
        <w:spacing w:line="360" w:lineRule="auto"/>
        <w:rPr>
          <w:rFonts w:eastAsia="等线"/>
          <w:szCs w:val="20"/>
          <w:lang w:val="en-US" w:eastAsia="zh-CN"/>
        </w:rPr>
      </w:pPr>
      <w:r>
        <w:rPr>
          <w:rFonts w:eastAsia="等线"/>
          <w:szCs w:val="20"/>
          <w:lang w:val="en-US" w:eastAsia="zh-CN"/>
        </w:rPr>
        <w:t>A low Glasgow Coma Scale (GCS) score in a patient with profound shock may result from inadequate brain perfusion, and the usual sequence of approach should not be altered.</w:t>
      </w:r>
    </w:p>
    <w:p w14:paraId="45E8ADFF">
      <w:pPr>
        <w:numPr>
          <w:ilvl w:val="0"/>
          <w:numId w:val="12"/>
        </w:numPr>
        <w:spacing w:line="360" w:lineRule="auto"/>
        <w:rPr>
          <w:rFonts w:eastAsia="等线"/>
          <w:szCs w:val="20"/>
          <w:lang w:val="en-US" w:eastAsia="zh-CN"/>
        </w:rPr>
      </w:pPr>
      <w:r>
        <w:rPr>
          <w:rFonts w:eastAsia="等线"/>
          <w:szCs w:val="20"/>
          <w:lang w:val="en-US" w:eastAsia="zh-CN"/>
        </w:rPr>
        <w:t>The computed tomography (CT) scan is a valuable tool for the assessment of hemodynamically stable patients; however, obtaining a CT scan in a hemodynamically unstable patient can contribute to delays in addressing the cause of hypotension.</w:t>
      </w:r>
    </w:p>
    <w:p w14:paraId="0A67EA4E">
      <w:pPr>
        <w:numPr>
          <w:ilvl w:val="0"/>
          <w:numId w:val="12"/>
        </w:numPr>
        <w:spacing w:line="360" w:lineRule="auto"/>
        <w:rPr>
          <w:rFonts w:eastAsia="等线"/>
          <w:szCs w:val="20"/>
          <w:lang w:val="en-US" w:eastAsia="zh-CN"/>
        </w:rPr>
      </w:pPr>
      <w:r>
        <w:rPr>
          <w:rFonts w:eastAsia="等线"/>
          <w:szCs w:val="20"/>
          <w:lang w:val="en-US" w:eastAsia="zh-CN"/>
        </w:rPr>
        <w:t>Indications for surgery in a patient with multiple blunt trauma injuries include hemodynamic instability, positive focused abdominal sonography for trauma (FAST) scan in an unstable patient, peritonitis, evidence of diaphragmatic injury, gross blood from the stomach or rectum, and evidence of viscous perforation.</w:t>
      </w:r>
    </w:p>
    <w:p w14:paraId="0C6A7C3D">
      <w:pPr>
        <w:numPr>
          <w:ilvl w:val="0"/>
          <w:numId w:val="12"/>
        </w:numPr>
        <w:spacing w:line="360" w:lineRule="auto"/>
        <w:rPr>
          <w:rFonts w:eastAsia="等线"/>
          <w:szCs w:val="20"/>
          <w:lang w:val="en-US" w:eastAsia="zh-CN"/>
        </w:rPr>
      </w:pPr>
      <w:r>
        <w:rPr>
          <w:rFonts w:eastAsia="等线"/>
          <w:szCs w:val="20"/>
          <w:lang w:val="en-US" w:eastAsia="zh-CN"/>
        </w:rPr>
        <w:t>Physical examination of the abdomen in a patient with multiple blunt trauma injuries can be limited as a result of distracting injuries (eg, rib fractures and long bone fractures) or altered sensorium (due to TBI, alcohol intoxication, or other illicit substance influence).</w:t>
      </w:r>
    </w:p>
    <w:p w14:paraId="6495255B">
      <w:pPr>
        <w:spacing w:line="360" w:lineRule="auto"/>
        <w:rPr>
          <w:rFonts w:eastAsia="等线"/>
          <w:b/>
          <w:bCs/>
          <w:color w:val="FF0000"/>
          <w:szCs w:val="20"/>
          <w:lang w:val="en-US" w:eastAsia="zh-CN"/>
        </w:rPr>
      </w:pPr>
      <w:r>
        <w:rPr>
          <w:rFonts w:eastAsia="等线"/>
          <w:b/>
          <w:bCs/>
          <w:color w:val="FF0000"/>
          <w:szCs w:val="20"/>
          <w:lang w:val="en-US" w:eastAsia="zh-CN"/>
        </w:rPr>
        <w:t>Case Quiz</w:t>
      </w:r>
    </w:p>
    <w:p w14:paraId="78D26BB4">
      <w:pPr>
        <w:spacing w:line="360" w:lineRule="auto"/>
        <w:rPr>
          <w:rFonts w:eastAsia="等线"/>
          <w:b/>
          <w:bCs/>
          <w:szCs w:val="20"/>
          <w:lang w:val="en-US" w:eastAsia="zh-CN"/>
        </w:rPr>
      </w:pPr>
      <w:r>
        <w:rPr>
          <w:rFonts w:eastAsia="等线"/>
          <w:b/>
          <w:bCs/>
          <w:szCs w:val="20"/>
          <w:lang w:val="en-US" w:eastAsia="zh-CN"/>
        </w:rPr>
        <w:t>Question 1 of 4</w:t>
      </w:r>
    </w:p>
    <w:p w14:paraId="6EDA7EBF">
      <w:pPr>
        <w:spacing w:line="360" w:lineRule="auto"/>
        <w:rPr>
          <w:rFonts w:eastAsia="等线"/>
          <w:szCs w:val="20"/>
          <w:lang w:val="en-US" w:eastAsia="zh-CN"/>
        </w:rPr>
      </w:pPr>
      <w:bookmarkStart w:id="45" w:name="261183686"/>
      <w:bookmarkEnd w:id="45"/>
      <w:r>
        <w:rPr>
          <w:rFonts w:eastAsia="等线"/>
          <w:b/>
          <w:bCs/>
          <w:szCs w:val="20"/>
          <w:lang w:val="en-US" w:eastAsia="zh-CN"/>
        </w:rPr>
        <w:t>6.1</w:t>
      </w:r>
      <w:bookmarkStart w:id="46" w:name="261183687"/>
      <w:bookmarkEnd w:id="46"/>
      <w:r>
        <w:rPr>
          <w:rFonts w:hint="eastAsia" w:eastAsia="等线"/>
          <w:szCs w:val="20"/>
          <w:lang w:val="en-US" w:eastAsia="zh-CN"/>
        </w:rPr>
        <w:t xml:space="preserve"> </w:t>
      </w:r>
      <w:r>
        <w:rPr>
          <w:rFonts w:eastAsia="等线"/>
          <w:szCs w:val="20"/>
          <w:lang w:val="en-US" w:eastAsia="zh-CN"/>
        </w:rPr>
        <w:t>A 32-year-old man is brought to the emergency department (ED) after a large branch broke from a tree and struck him on the right side of his head and his right chest. He is noted to have a large right parietal scalp hematoma, right cheek deformity, and right chest wall deformity associated with diminished right-sided breath sounds. His pulse rate is 110 beats per minute, blood pressure is 120/70 mm Hg, respiratory rate is 30 breaths per minute, and Glasgow Coma Scale (GCS) score is 13. Which of the following is the most appropriate next step?</w:t>
      </w:r>
    </w:p>
    <w:p w14:paraId="7CD1B8AD">
      <w:pPr>
        <w:spacing w:line="360" w:lineRule="auto"/>
        <w:rPr>
          <w:rFonts w:eastAsia="等线"/>
          <w:szCs w:val="20"/>
          <w:lang w:val="en-US" w:eastAsia="zh-CN"/>
        </w:rPr>
      </w:pPr>
      <w:r>
        <w:rPr>
          <w:rFonts w:eastAsia="等线"/>
          <w:szCs w:val="20"/>
          <w:lang w:val="en-US" w:eastAsia="zh-CN"/>
        </w:rPr>
        <w:t> </w:t>
      </w:r>
      <w:r>
        <w:rPr>
          <w:rFonts w:eastAsia="等线"/>
          <w:b/>
          <w:bCs/>
          <w:szCs w:val="20"/>
          <w:lang w:val="en-US" w:eastAsia="zh-CN"/>
        </w:rPr>
        <w:t>A</w:t>
      </w:r>
      <w:bookmarkStart w:id="47" w:name="261183690"/>
      <w:bookmarkEnd w:id="47"/>
      <w:r>
        <w:rPr>
          <w:rFonts w:hint="eastAsia" w:eastAsia="等线"/>
          <w:szCs w:val="20"/>
          <w:lang w:val="en-US" w:eastAsia="zh-CN"/>
        </w:rPr>
        <w:t xml:space="preserve"> </w:t>
      </w:r>
      <w:r>
        <w:rPr>
          <w:rFonts w:eastAsia="等线"/>
          <w:szCs w:val="20"/>
          <w:lang w:val="en-US" w:eastAsia="zh-CN"/>
        </w:rPr>
        <w:t>Endotracheal intubation</w:t>
      </w:r>
    </w:p>
    <w:p w14:paraId="5DAE6C5C">
      <w:pPr>
        <w:spacing w:line="360" w:lineRule="auto"/>
        <w:rPr>
          <w:rFonts w:eastAsia="等线"/>
          <w:szCs w:val="20"/>
          <w:lang w:val="en-US" w:eastAsia="zh-CN"/>
        </w:rPr>
      </w:pPr>
      <w:r>
        <w:rPr>
          <w:rFonts w:eastAsia="等线"/>
          <w:szCs w:val="20"/>
          <w:lang w:val="en-US" w:eastAsia="zh-CN"/>
        </w:rPr>
        <w:t> </w:t>
      </w:r>
      <w:r>
        <w:rPr>
          <w:rFonts w:eastAsia="等线"/>
          <w:b/>
          <w:bCs/>
          <w:szCs w:val="20"/>
          <w:lang w:val="en-US" w:eastAsia="zh-CN"/>
        </w:rPr>
        <w:t>B</w:t>
      </w:r>
      <w:bookmarkStart w:id="48" w:name="261183692"/>
      <w:bookmarkEnd w:id="48"/>
      <w:r>
        <w:rPr>
          <w:rFonts w:hint="eastAsia" w:eastAsia="等线"/>
          <w:szCs w:val="20"/>
          <w:lang w:val="en-US" w:eastAsia="zh-CN"/>
        </w:rPr>
        <w:t xml:space="preserve"> </w:t>
      </w:r>
      <w:r>
        <w:rPr>
          <w:rFonts w:eastAsia="等线"/>
          <w:szCs w:val="20"/>
          <w:lang w:val="en-US" w:eastAsia="zh-CN"/>
        </w:rPr>
        <w:t>Right chest tube placement</w:t>
      </w:r>
    </w:p>
    <w:p w14:paraId="53CF4F08">
      <w:pPr>
        <w:spacing w:line="360" w:lineRule="auto"/>
        <w:rPr>
          <w:rFonts w:eastAsia="等线"/>
          <w:szCs w:val="20"/>
          <w:lang w:val="en-US" w:eastAsia="zh-CN"/>
        </w:rPr>
      </w:pPr>
      <w:r>
        <w:rPr>
          <w:rFonts w:eastAsia="等线"/>
          <w:szCs w:val="20"/>
          <w:lang w:val="en-US" w:eastAsia="zh-CN"/>
        </w:rPr>
        <w:t> </w:t>
      </w:r>
      <w:r>
        <w:rPr>
          <w:rFonts w:eastAsia="等线"/>
          <w:b/>
          <w:bCs/>
          <w:szCs w:val="20"/>
          <w:lang w:val="en-US" w:eastAsia="zh-CN"/>
        </w:rPr>
        <w:t>C</w:t>
      </w:r>
      <w:bookmarkStart w:id="49" w:name="261183694"/>
      <w:bookmarkEnd w:id="49"/>
      <w:r>
        <w:rPr>
          <w:rFonts w:hint="eastAsia" w:eastAsia="等线"/>
          <w:szCs w:val="20"/>
          <w:lang w:val="en-US" w:eastAsia="zh-CN"/>
        </w:rPr>
        <w:t xml:space="preserve"> </w:t>
      </w:r>
      <w:r>
        <w:rPr>
          <w:rFonts w:eastAsia="等线"/>
          <w:szCs w:val="20"/>
          <w:lang w:val="en-US" w:eastAsia="zh-CN"/>
        </w:rPr>
        <w:t>Computed tomography (CT) of the brain</w:t>
      </w:r>
    </w:p>
    <w:p w14:paraId="51EA2B22">
      <w:pPr>
        <w:spacing w:line="360" w:lineRule="auto"/>
        <w:rPr>
          <w:rFonts w:eastAsia="等线"/>
          <w:szCs w:val="20"/>
          <w:lang w:val="en-US" w:eastAsia="zh-CN"/>
        </w:rPr>
      </w:pPr>
      <w:r>
        <w:rPr>
          <w:rFonts w:eastAsia="等线"/>
          <w:szCs w:val="20"/>
          <w:lang w:val="en-US" w:eastAsia="zh-CN"/>
        </w:rPr>
        <w:t> </w:t>
      </w:r>
      <w:r>
        <w:rPr>
          <w:rFonts w:eastAsia="等线"/>
          <w:b/>
          <w:bCs/>
          <w:szCs w:val="20"/>
          <w:lang w:val="en-US" w:eastAsia="zh-CN"/>
        </w:rPr>
        <w:t>D</w:t>
      </w:r>
      <w:bookmarkStart w:id="50" w:name="261183696"/>
      <w:bookmarkEnd w:id="50"/>
      <w:r>
        <w:rPr>
          <w:rFonts w:hint="eastAsia" w:eastAsia="等线"/>
          <w:szCs w:val="20"/>
          <w:lang w:val="en-US" w:eastAsia="zh-CN"/>
        </w:rPr>
        <w:t xml:space="preserve"> </w:t>
      </w:r>
      <w:r>
        <w:rPr>
          <w:rFonts w:eastAsia="等线"/>
          <w:szCs w:val="20"/>
          <w:lang w:val="en-US" w:eastAsia="zh-CN"/>
        </w:rPr>
        <w:t>Focused abdominal sonography for trauma (FAST)</w:t>
      </w:r>
    </w:p>
    <w:p w14:paraId="656FD052">
      <w:pPr>
        <w:spacing w:line="360" w:lineRule="auto"/>
        <w:rPr>
          <w:rFonts w:eastAsia="等线"/>
          <w:szCs w:val="20"/>
          <w:lang w:val="en-US" w:eastAsia="zh-CN"/>
        </w:rPr>
      </w:pPr>
      <w:r>
        <w:rPr>
          <w:rFonts w:eastAsia="等线"/>
          <w:szCs w:val="20"/>
          <w:lang w:val="en-US" w:eastAsia="zh-CN"/>
        </w:rPr>
        <w:t> </w:t>
      </w:r>
      <w:r>
        <w:rPr>
          <w:rFonts w:eastAsia="等线"/>
          <w:b/>
          <w:bCs/>
          <w:szCs w:val="20"/>
          <w:lang w:val="en-US" w:eastAsia="zh-CN"/>
        </w:rPr>
        <w:t>E</w:t>
      </w:r>
      <w:bookmarkStart w:id="51" w:name="261183698"/>
      <w:bookmarkEnd w:id="51"/>
      <w:r>
        <w:rPr>
          <w:rFonts w:hint="eastAsia" w:eastAsia="等线"/>
          <w:szCs w:val="20"/>
          <w:lang w:val="en-US" w:eastAsia="zh-CN"/>
        </w:rPr>
        <w:t xml:space="preserve"> </w:t>
      </w:r>
      <w:r>
        <w:rPr>
          <w:rFonts w:eastAsia="等线"/>
          <w:szCs w:val="20"/>
          <w:lang w:val="en-US" w:eastAsia="zh-CN"/>
        </w:rPr>
        <w:t>Repair of the scalp laceration</w:t>
      </w:r>
    </w:p>
    <w:p w14:paraId="6278D8B5">
      <w:pPr>
        <w:spacing w:line="360" w:lineRule="auto"/>
        <w:rPr>
          <w:rFonts w:eastAsia="等线"/>
          <w:szCs w:val="20"/>
          <w:lang w:val="en-US" w:eastAsia="zh-CN"/>
        </w:rPr>
      </w:pPr>
      <w:r>
        <w:rPr>
          <w:rFonts w:eastAsia="等线"/>
          <w:szCs w:val="20"/>
          <w:lang w:val="en-US" w:eastAsia="zh-CN"/>
        </w:rPr>
        <w:t>The correct answer is </w:t>
      </w:r>
      <w:r>
        <w:rPr>
          <w:rFonts w:eastAsia="等线"/>
          <w:b/>
          <w:bCs/>
          <w:szCs w:val="20"/>
          <w:lang w:val="en-US" w:eastAsia="zh-CN"/>
        </w:rPr>
        <w:t>B</w:t>
      </w:r>
      <w:r>
        <w:rPr>
          <w:rFonts w:eastAsia="等线"/>
          <w:szCs w:val="20"/>
          <w:lang w:val="en-US" w:eastAsia="zh-CN"/>
        </w:rPr>
        <w:t>. You answered </w:t>
      </w:r>
      <w:r>
        <w:rPr>
          <w:rFonts w:eastAsia="等线"/>
          <w:b/>
          <w:bCs/>
          <w:szCs w:val="20"/>
          <w:lang w:val="en-US" w:eastAsia="zh-CN"/>
        </w:rPr>
        <w:t>E</w:t>
      </w:r>
      <w:r>
        <w:rPr>
          <w:rFonts w:eastAsia="等线"/>
          <w:szCs w:val="20"/>
          <w:lang w:val="en-US" w:eastAsia="zh-CN"/>
        </w:rPr>
        <w:t>.</w:t>
      </w:r>
    </w:p>
    <w:p w14:paraId="511E83E0">
      <w:pPr>
        <w:spacing w:line="360" w:lineRule="auto"/>
        <w:rPr>
          <w:rFonts w:eastAsia="等线"/>
          <w:szCs w:val="20"/>
          <w:lang w:val="en-US" w:eastAsia="zh-CN"/>
        </w:rPr>
      </w:pPr>
      <w:r>
        <w:rPr>
          <w:rFonts w:eastAsia="等线"/>
          <w:b/>
          <w:bCs/>
          <w:szCs w:val="20"/>
          <w:lang w:val="en-US" w:eastAsia="zh-CN"/>
        </w:rPr>
        <w:t>Explanation:</w:t>
      </w:r>
      <w:bookmarkStart w:id="52" w:name="261183700"/>
      <w:bookmarkEnd w:id="52"/>
    </w:p>
    <w:p w14:paraId="1AB60656">
      <w:pPr>
        <w:spacing w:line="360" w:lineRule="auto"/>
        <w:rPr>
          <w:rFonts w:eastAsia="等线"/>
          <w:szCs w:val="20"/>
          <w:lang w:val="en-US" w:eastAsia="zh-CN"/>
        </w:rPr>
      </w:pPr>
      <w:r>
        <w:rPr>
          <w:rFonts w:eastAsia="等线"/>
          <w:b/>
          <w:bCs/>
          <w:szCs w:val="20"/>
          <w:lang w:val="en-US" w:eastAsia="zh-CN"/>
        </w:rPr>
        <w:t>B. Right chest tube placement.</w:t>
      </w:r>
      <w:r>
        <w:rPr>
          <w:rFonts w:eastAsia="等线"/>
          <w:szCs w:val="20"/>
          <w:lang w:val="en-US" w:eastAsia="zh-CN"/>
        </w:rPr>
        <w:t> This is a patient with possible traumatic brain injury (TBI; mild, based on GCS of 13) and blunt right-sided chest trauma with physical examination findings that are suspicious for right pneumothorax or hemothorax. Because his GCS suggests that his TBI is not the major issue at this point, endotracheal intubation (answer A) is not indicated. Placement of a right chest tube should be the first intervention to try to improve his breathing. This scenario stresses the importance of addressing the ABCs (airway, breathing, circulation) in all trauma patients in the appropriate sequence. Thus, CT of the brain (answer C) and repair of the scalp laceration (answer E) are not the priority at this point. The FAST scan (answer D), while important, can wait for a short time since the patient’s blood pressure is currently normal.</w:t>
      </w:r>
    </w:p>
    <w:p w14:paraId="0D08AE36">
      <w:pPr>
        <w:spacing w:line="360" w:lineRule="auto"/>
        <w:rPr>
          <w:rFonts w:eastAsia="等线"/>
          <w:b/>
          <w:bCs/>
          <w:color w:val="FF0000"/>
          <w:szCs w:val="20"/>
          <w:lang w:val="en-US" w:eastAsia="zh-CN"/>
        </w:rPr>
      </w:pPr>
      <w:r>
        <w:rPr>
          <w:rFonts w:eastAsia="等线"/>
          <w:b/>
          <w:bCs/>
          <w:color w:val="FF0000"/>
          <w:szCs w:val="20"/>
          <w:lang w:val="en-US" w:eastAsia="zh-CN"/>
        </w:rPr>
        <w:t>References</w:t>
      </w:r>
    </w:p>
    <w:p w14:paraId="7330D078">
      <w:pPr>
        <w:spacing w:line="360" w:lineRule="auto"/>
        <w:rPr>
          <w:rFonts w:eastAsia="等线"/>
          <w:szCs w:val="20"/>
          <w:lang w:val="en-US" w:eastAsia="zh-CN"/>
        </w:rPr>
      </w:pPr>
      <w:r>
        <w:rPr>
          <w:rFonts w:eastAsia="等线"/>
          <w:szCs w:val="20"/>
          <w:lang w:val="en-US" w:eastAsia="zh-CN"/>
        </w:rPr>
        <w:t>Genuit  T, Rueda  M. Initial assessment and resuscitation of the trauma patient. In: Cameron  JL, Cameron  AM, eds. </w:t>
      </w:r>
      <w:r>
        <w:rPr>
          <w:rFonts w:eastAsia="等线"/>
          <w:i/>
          <w:iCs/>
          <w:szCs w:val="20"/>
          <w:lang w:val="en-US" w:eastAsia="zh-CN"/>
        </w:rPr>
        <w:t>Current Surgical Therapy</w:t>
      </w:r>
      <w:r>
        <w:rPr>
          <w:rFonts w:eastAsia="等线"/>
          <w:szCs w:val="20"/>
          <w:lang w:val="en-US" w:eastAsia="zh-CN"/>
        </w:rPr>
        <w:t>. 13th ed. Philadelphia, PA: Elsevier; 2020:1105–1111.</w:t>
      </w:r>
    </w:p>
    <w:p w14:paraId="32BA911E">
      <w:pPr>
        <w:spacing w:line="360" w:lineRule="auto"/>
        <w:rPr>
          <w:rFonts w:eastAsia="等线"/>
          <w:szCs w:val="20"/>
          <w:lang w:val="en-US" w:eastAsia="zh-CN"/>
        </w:rPr>
      </w:pPr>
      <w:bookmarkStart w:id="53" w:name="casefiles.surgery6e_cs6rf24"/>
      <w:bookmarkEnd w:id="53"/>
      <w:r>
        <w:rPr>
          <w:rFonts w:eastAsia="等线"/>
          <w:szCs w:val="20"/>
          <w:lang w:val="en-US" w:eastAsia="zh-CN"/>
        </w:rPr>
        <w:t>Lee  WS, Parks  NA, Garcia  A,  et al. Pan computed tomography versus selective tomography in stable adults after blunt trauma with moderate mechanism: a cost-utility analysis. </w:t>
      </w:r>
      <w:r>
        <w:rPr>
          <w:rFonts w:eastAsia="等线"/>
          <w:i/>
          <w:iCs/>
          <w:szCs w:val="20"/>
          <w:lang w:val="en-US" w:eastAsia="zh-CN"/>
        </w:rPr>
        <w:t>J Trauma Acute Care Surg</w:t>
      </w:r>
      <w:r>
        <w:rPr>
          <w:rFonts w:eastAsia="等线"/>
          <w:szCs w:val="20"/>
          <w:lang w:val="en-US" w:eastAsia="zh-CN"/>
        </w:rPr>
        <w:t>. 2014;77:527–533.</w:t>
      </w:r>
    </w:p>
    <w:p w14:paraId="3A5DF9C0">
      <w:pPr>
        <w:spacing w:line="360" w:lineRule="auto"/>
        <w:rPr>
          <w:rFonts w:eastAsia="等线"/>
          <w:szCs w:val="20"/>
          <w:lang w:val="en-US" w:eastAsia="zh-CN"/>
        </w:rPr>
      </w:pPr>
      <w:bookmarkStart w:id="54" w:name="casefiles.surgery6e_cs6rf25"/>
      <w:bookmarkEnd w:id="54"/>
      <w:r>
        <w:rPr>
          <w:rFonts w:eastAsia="等线"/>
          <w:szCs w:val="20"/>
          <w:lang w:val="en-US" w:eastAsia="zh-CN"/>
        </w:rPr>
        <w:t>Ramirez  C, Stein  D. Management of traumatic brain injury. In: Cameron  JL, Cameron  AM, eds. </w:t>
      </w:r>
      <w:r>
        <w:rPr>
          <w:rFonts w:eastAsia="等线"/>
          <w:i/>
          <w:iCs/>
          <w:szCs w:val="20"/>
          <w:lang w:val="en-US" w:eastAsia="zh-CN"/>
        </w:rPr>
        <w:t>Current Surgical Therapy</w:t>
      </w:r>
      <w:r>
        <w:rPr>
          <w:rFonts w:eastAsia="等线"/>
          <w:szCs w:val="20"/>
          <w:lang w:val="en-US" w:eastAsia="zh-CN"/>
        </w:rPr>
        <w:t>. 13th ed. Philadelphia, PA: Elsevier; 2020:1142–1146.</w:t>
      </w:r>
    </w:p>
    <w:p w14:paraId="2D783640">
      <w:pPr>
        <w:spacing w:line="360" w:lineRule="auto"/>
        <w:rPr>
          <w:rFonts w:eastAsia="等线"/>
          <w:b/>
          <w:bCs/>
          <w:color w:val="FF0000"/>
          <w:szCs w:val="20"/>
          <w:lang w:val="en-US" w:eastAsia="zh-CN"/>
        </w:rPr>
      </w:pPr>
      <w:r>
        <w:rPr>
          <w:rFonts w:eastAsia="等线"/>
          <w:b/>
          <w:bCs/>
          <w:color w:val="FF0000"/>
          <w:szCs w:val="20"/>
          <w:lang w:val="en-US" w:eastAsia="zh-CN"/>
        </w:rPr>
        <w:t>Works Cited</w:t>
      </w:r>
    </w:p>
    <w:p w14:paraId="77C61382">
      <w:pPr>
        <w:spacing w:line="360" w:lineRule="auto"/>
        <w:rPr>
          <w:rFonts w:eastAsia="等线"/>
          <w:b/>
          <w:bCs/>
          <w:color w:val="FF0000"/>
          <w:szCs w:val="20"/>
          <w:lang w:val="en-US" w:eastAsia="zh-CN"/>
        </w:rPr>
      </w:pPr>
      <w:r>
        <w:rPr>
          <w:rFonts w:eastAsia="等线"/>
          <w:b/>
          <w:bCs/>
          <w:color w:val="FF0000"/>
          <w:szCs w:val="20"/>
          <w:lang w:val="en-US" w:eastAsia="zh-CN"/>
        </w:rPr>
        <w:t>Further Reading</w:t>
      </w:r>
    </w:p>
    <w:p w14:paraId="04E74F67">
      <w:pPr>
        <w:spacing w:line="360" w:lineRule="auto"/>
        <w:rPr>
          <w:rFonts w:eastAsia="等线"/>
          <w:b/>
          <w:bCs/>
          <w:color w:val="FF0000"/>
          <w:szCs w:val="20"/>
          <w:lang w:eastAsia="zh-CN"/>
        </w:rPr>
      </w:pPr>
      <w:r>
        <w:rPr>
          <w:rFonts w:eastAsia="等线"/>
          <w:b/>
          <w:bCs/>
          <w:color w:val="FF0000"/>
          <w:szCs w:val="20"/>
          <w:lang w:eastAsia="zh-CN"/>
        </w:rPr>
        <w:t>Author and Acknowledgements</w:t>
      </w:r>
    </w:p>
    <w:p w14:paraId="38DDC88F">
      <w:pPr>
        <w:spacing w:line="360" w:lineRule="auto"/>
        <w:rPr>
          <w:rFonts w:eastAsia="等线"/>
          <w:b/>
          <w:bCs/>
          <w:color w:val="FF0000"/>
          <w:szCs w:val="20"/>
          <w:lang w:eastAsia="zh-CN"/>
        </w:rPr>
      </w:pPr>
      <w:r>
        <w:rPr>
          <w:rFonts w:eastAsia="等线"/>
          <w:b/>
          <w:bCs/>
          <w:color w:val="FF0000"/>
          <w:szCs w:val="20"/>
          <w:lang w:eastAsia="zh-CN"/>
        </w:rPr>
        <w:t>About the Author</w:t>
      </w:r>
    </w:p>
    <w:p w14:paraId="0E504E25">
      <w:pPr>
        <w:spacing w:line="360" w:lineRule="auto"/>
        <w:rPr>
          <w:rFonts w:eastAsia="等线"/>
          <w:b/>
          <w:bCs/>
          <w:color w:val="FF0000"/>
          <w:szCs w:val="20"/>
          <w:lang w:eastAsia="zh-CN"/>
        </w:rPr>
      </w:pPr>
      <w:r>
        <w:rPr>
          <w:rFonts w:eastAsia="等线"/>
          <w:b/>
          <w:bCs/>
          <w:color w:val="FF0000"/>
          <w:szCs w:val="20"/>
          <w:lang w:eastAsia="zh-CN"/>
        </w:rPr>
        <w:t>Acknowledgements</w:t>
      </w:r>
    </w:p>
    <w:p w14:paraId="0077FDF5">
      <w:pPr>
        <w:spacing w:line="360" w:lineRule="auto"/>
        <w:rPr>
          <w:rFonts w:eastAsia="等线"/>
          <w:szCs w:val="20"/>
          <w:lang w:val="en-US" w:eastAsia="zh-CN"/>
        </w:rPr>
      </w:pPr>
      <w:r>
        <w:rPr>
          <w:rFonts w:eastAsia="等线"/>
          <w:szCs w:val="20"/>
          <w:lang w:val="en-US" w:eastAsia="zh-CN"/>
        </w:rPr>
        <w:t>The curriculum that evolved into the ideas for this series was inspired by two talented and forthright students, Philbert Yao and Chuck Rosipal, who have since graduated from medical school. It has been a tremendous joy to work with Terry Liu, my friend since medical school as well as a brilliant surgeon and educator. It has been a pleasure to have Barnard Palmer, a very astute surgeon and educator, continue on our team. We also thank our excellent contributors. I am greatly indebted to my editors, Bob Boehringer and Madison Tucky, whose exuberance and vision helped to shape this series. I appreciate McGraw Hill’s believing in the concept of teaching through clinical cases. I am also grateful to Catherine Saggese for her excellent production expertise. Neelu Sahu deserves acknowledgement for her amazing patience and precision as project manager for this book.</w:t>
      </w:r>
    </w:p>
    <w:p w14:paraId="165659B4">
      <w:pPr>
        <w:spacing w:line="360" w:lineRule="auto"/>
        <w:rPr>
          <w:rFonts w:eastAsia="等线"/>
          <w:szCs w:val="20"/>
          <w:lang w:val="en-US" w:eastAsia="zh-CN"/>
        </w:rPr>
      </w:pPr>
      <w:bookmarkStart w:id="55" w:name="casefiles.surgery6e_fm6p2"/>
      <w:bookmarkEnd w:id="55"/>
      <w:bookmarkStart w:id="56" w:name="1183490023"/>
      <w:bookmarkEnd w:id="56"/>
      <w:r>
        <w:rPr>
          <w:rFonts w:eastAsia="等线"/>
          <w:szCs w:val="20"/>
          <w:lang w:val="en-US" w:eastAsia="zh-CN"/>
        </w:rPr>
        <w:t>At McGovern Medical School, I appreciate the great support from Drs. Sean Blackwell, Patricia Butler, and Pam Berens, without whom I would not have been able to complete this book. I want to acknowledge the many medical students who have helped to sharpen the focus of this book, provided critiques, and identified those pesky grammar and explanatory errors, especially Joy Davis, who served to review the content, compare it to national educational guidelines, emphasize material relevant to the medical student level, and served as principal content reviewer. Joy would like to acknowledge her parents, Jim and Carolyn, for their steadfast support, love, and encouragement. Of course, the words and ideas could not have made it to words, phrases, and meaningful concepts without my ever-reliable, incredibly talented daughter Allison, who has risen to wizard status of medical writing and editing.</w:t>
      </w:r>
    </w:p>
    <w:p w14:paraId="09BBFCA0">
      <w:pPr>
        <w:spacing w:line="360" w:lineRule="auto"/>
        <w:rPr>
          <w:rFonts w:eastAsia="等线"/>
          <w:szCs w:val="20"/>
          <w:lang w:val="en-US" w:eastAsia="zh-CN"/>
        </w:rPr>
      </w:pPr>
      <w:bookmarkStart w:id="57" w:name="casefiles.surgery6e_fm6p3"/>
      <w:bookmarkEnd w:id="57"/>
      <w:bookmarkStart w:id="58" w:name="1183490024"/>
      <w:bookmarkEnd w:id="58"/>
      <w:r>
        <w:rPr>
          <w:rFonts w:eastAsia="等线"/>
          <w:szCs w:val="20"/>
          <w:lang w:val="en-US" w:eastAsia="zh-CN"/>
        </w:rPr>
        <w:t>Most of all, I appreciate my loving wife, Terri, and my four wonderful children, Andy and his wife Anna, Michael and his wife Nadine, Allison, and Christina and her husband Andy, for their patience and understanding.</w:t>
      </w:r>
    </w:p>
    <w:p w14:paraId="0B096DB6">
      <w:pPr>
        <w:rPr>
          <w:rFonts w:eastAsia="等线"/>
          <w:szCs w:val="20"/>
          <w:lang w:val="en-US" w:eastAsia="zh-CN"/>
        </w:rPr>
      </w:pPr>
      <w:r>
        <w:rPr>
          <w:rFonts w:eastAsia="等线"/>
          <w:szCs w:val="20"/>
          <w:lang w:val="en-US" w:eastAsia="zh-CN"/>
        </w:rPr>
        <w:br w:type="page"/>
      </w:r>
    </w:p>
    <w:p w14:paraId="6ABF8327">
      <w:pPr>
        <w:numPr>
          <w:ilvl w:val="0"/>
          <w:numId w:val="7"/>
        </w:numPr>
        <w:ind w:left="420" w:leftChars="0" w:hanging="420" w:firstLineChars="0"/>
        <w:outlineLvl w:val="0"/>
        <w:rPr>
          <w:rFonts w:hint="default" w:eastAsia="等线"/>
          <w:b/>
          <w:bCs/>
          <w:sz w:val="32"/>
          <w:szCs w:val="36"/>
          <w:lang w:val="en-US" w:eastAsia="zh-CN"/>
        </w:rPr>
      </w:pPr>
      <w:r>
        <w:rPr>
          <w:rFonts w:hint="eastAsia" w:eastAsia="等线"/>
          <w:b/>
          <w:bCs/>
          <w:sz w:val="32"/>
          <w:szCs w:val="36"/>
          <w:lang w:val="en-US" w:eastAsia="zh-CN"/>
        </w:rPr>
        <w:t>妇产科学样例</w:t>
      </w:r>
    </w:p>
    <w:p w14:paraId="34987255">
      <w:pPr>
        <w:spacing w:line="360" w:lineRule="auto"/>
        <w:rPr>
          <w:rFonts w:eastAsia="等线"/>
          <w:b/>
          <w:bCs/>
          <w:sz w:val="32"/>
          <w:szCs w:val="32"/>
          <w:lang w:val="en-US" w:eastAsia="zh-CN"/>
        </w:rPr>
      </w:pPr>
      <w:r>
        <w:rPr>
          <w:rFonts w:eastAsia="等线"/>
          <w:b/>
          <w:bCs/>
          <w:sz w:val="32"/>
          <w:szCs w:val="32"/>
          <w:lang w:val="en-US" w:eastAsia="zh-CN"/>
        </w:rPr>
        <w:t>Obstetrics and Gynecology</w:t>
      </w:r>
    </w:p>
    <w:p w14:paraId="18C82847">
      <w:pPr>
        <w:spacing w:line="360" w:lineRule="auto"/>
        <w:rPr>
          <w:rFonts w:eastAsia="等线"/>
          <w:b/>
          <w:bCs/>
          <w:sz w:val="28"/>
          <w:szCs w:val="28"/>
          <w:lang w:val="en-US" w:eastAsia="zh-CN"/>
        </w:rPr>
      </w:pPr>
      <w:r>
        <w:rPr>
          <w:rFonts w:eastAsia="等线"/>
          <w:b/>
          <w:bCs/>
          <w:sz w:val="28"/>
          <w:szCs w:val="28"/>
          <w:lang w:val="en-US" w:eastAsia="zh-CN"/>
        </w:rPr>
        <w:t>Gynecologic Care and Health Maintenance &gt; Health Maintenance, Age 66 Years</w:t>
      </w:r>
    </w:p>
    <w:p w14:paraId="75D8A973">
      <w:pPr>
        <w:pStyle w:val="10"/>
      </w:pPr>
      <w:r>
        <w:t xml:space="preserve">Author(s) </w:t>
      </w:r>
      <w:r>
        <w:rPr>
          <w:b w:val="0"/>
          <w:bCs/>
          <w:i/>
          <w:iCs/>
          <w:highlight w:val="lightGray"/>
        </w:rPr>
        <w:t>(how it should appear online, in the order given/middle/family name)</w:t>
      </w:r>
      <w:r>
        <w:t>: Eugene C. Toy; Patti Jayne Ross</w:t>
      </w:r>
    </w:p>
    <w:p w14:paraId="13E99C43">
      <w:pPr>
        <w:pStyle w:val="10"/>
      </w:pPr>
      <w:r>
        <w:t xml:space="preserve">Region: </w:t>
      </w:r>
      <w:sdt>
        <w:sdtPr>
          <w:id w:val="-389810949"/>
          <w:placeholder>
            <w:docPart w:val="3F2908031CF84559955D0962C230E6FA"/>
          </w:placeholder>
          <w:dropDownList>
            <w:listItem w:displayText="Australia/New Zealand" w:value="Australia/New Zealand"/>
            <w:listItem w:displayText="Colombia" w:value="Colombia"/>
            <w:listItem w:displayText="Egypt" w:value="Egypt"/>
            <w:listItem w:displayText="India" w:value="India"/>
            <w:listItem w:displayText="Indonesia" w:value="Indonesia"/>
            <w:listItem w:displayText="Lebanon" w:value="Lebanon"/>
            <w:listItem w:displayText="Mexico" w:value="Mexico"/>
            <w:listItem w:displayText="Middle East" w:value="Middle East"/>
            <w:listItem w:displayText="Saudi Arabia" w:value="Saudi Arabia"/>
            <w:listItem w:displayText="South Africa" w:value="South Africa"/>
            <w:listItem w:displayText="Southeast Asia" w:value="Southeast Asia"/>
            <w:listItem w:displayText="United Kingdom" w:value="United Kingdom"/>
          </w:dropDownList>
        </w:sdtPr>
        <w:sdtContent>
          <w:r>
            <w:t>United Kingdom</w:t>
          </w:r>
        </w:sdtContent>
      </w:sdt>
    </w:p>
    <w:p w14:paraId="041C7702">
      <w:pPr>
        <w:pStyle w:val="10"/>
      </w:pPr>
      <w:r>
        <w:rPr>
          <w:highlight w:val="lightGray"/>
        </w:rPr>
        <w:t>Illness/disease:</w:t>
      </w:r>
      <w:r>
        <w:t xml:space="preserve"> Health Maintenance</w:t>
      </w:r>
    </w:p>
    <w:p w14:paraId="530E31D6">
      <w:pPr>
        <w:pStyle w:val="10"/>
      </w:pPr>
      <w:r>
        <w:t xml:space="preserve">Topic: </w:t>
      </w:r>
      <w:sdt>
        <w:sdtPr>
          <w:id w:val="-1305384327"/>
          <w:placeholder>
            <w:docPart w:val="0C7150C6F8384BE38231FEB18CAF2930"/>
          </w:placeholder>
          <w:dropDownList>
            <w:listItem w:displayText="Anaesthesia" w:value="Anaesthesia"/>
            <w:listItem w:displayText="Cardiovascular System" w:value="Cardiovascular System"/>
            <w:listItem w:displayText="Dermatology" w:value="Dermatology"/>
            <w:listItem w:displayText="Developmental Disorders" w:value="Developmental Disorders"/>
            <w:listItem w:displayText="Ears, Nose and Throat" w:value="Ears, Nose and Throat"/>
            <w:listItem w:displayText="Endocrine System and Metabolism" w:value="Endocrine System and Metabolism"/>
            <w:listItem w:displayText="Gastrointestinal System" w:value="Gastrointestinal System"/>
            <w:listItem w:displayText="Genitourinary System" w:value="Genitourinary System"/>
            <w:listItem w:displayText="Geriatrics" w:value="Geriatrics"/>
            <w:listItem w:displayText="Haematology" w:value="Haematology"/>
            <w:listItem w:displayText="Immune System" w:value="Immune System"/>
            <w:listItem w:displayText="Infectious Diseases" w:value="Infectious Diseases"/>
            <w:listItem w:displayText="Mental Health" w:value="Mental Health"/>
            <w:listItem w:displayText="Musculoskeletal System" w:value="Musculoskeletal System"/>
            <w:listItem w:displayText="Nervous System" w:value="Nervous System"/>
            <w:listItem w:displayText="Obstetrics and Gynaecology" w:value="Obstetrics and Gynaecology"/>
            <w:listItem w:displayText="Occupational Medicine" w:value="Occupational Medicine"/>
            <w:listItem w:displayText="Oncology" w:value="Oncology"/>
            <w:listItem w:displayText="Ophthalmology" w:value="Ophthalmology"/>
            <w:listItem w:displayText="Palliative Care" w:value="Palliative Care"/>
            <w:listItem w:displayText="Pharmacology" w:value="Pharmacology"/>
            <w:listItem w:displayText="Preventive Health" w:value="Preventive Health"/>
            <w:listItem w:displayText="Respiratory System" w:value="Respiratory System"/>
            <w:listItem w:displayText="Toxicology and Toxinology" w:value="Toxicology and Toxinology"/>
            <w:listItem w:displayText="Trauma and Environmental Health" w:value="Trauma and Environmental Health"/>
            <w:listItem w:displayText="Travel Medicine" w:value="Travel Medicine"/>
          </w:dropDownList>
        </w:sdtPr>
        <w:sdtContent>
          <w:r>
            <w:t>Obstetrics and Gynaecology</w:t>
          </w:r>
        </w:sdtContent>
      </w:sdt>
    </w:p>
    <w:p w14:paraId="629ABBBA">
      <w:pPr>
        <w:pStyle w:val="10"/>
      </w:pPr>
      <w:r>
        <w:t xml:space="preserve">Setting: </w:t>
      </w:r>
      <w:sdt>
        <w:sdtPr>
          <w:id w:val="-30572032"/>
          <w:placeholder>
            <w:docPart w:val="7027C73C774A4AFC8A5CA55506E15D22"/>
          </w:placeholder>
          <w:dropDownList>
            <w:listItem w:displayText="Emergency Care" w:value="Emergency Care"/>
            <w:listItem w:displayText="Primary Care" w:value="Primary Care"/>
            <w:listItem w:displayText="Secondary Care" w:value="Secondary Care"/>
          </w:dropDownList>
        </w:sdtPr>
        <w:sdtContent>
          <w:r>
            <w:t>Primary Care</w:t>
          </w:r>
        </w:sdtContent>
      </w:sdt>
    </w:p>
    <w:p w14:paraId="6520B85E">
      <w:pPr>
        <w:pStyle w:val="10"/>
      </w:pPr>
      <w:r>
        <w:t xml:space="preserve">Patient Age: </w:t>
      </w:r>
      <w:sdt>
        <w:sdtPr>
          <w:id w:val="-1961251837"/>
          <w:placeholder>
            <w:docPart w:val="7027C73C774A4AFC8A5CA55506E15D22"/>
          </w:placeholder>
          <w:dropDownList>
            <w:listItem w:displayText="Child (&lt;18 years)" w:value="Child (&lt;18 years)"/>
            <w:listItem w:displayText="Adult (18+ years)" w:value="Adult (18+ years)"/>
          </w:dropDownList>
        </w:sdtPr>
        <w:sdtContent>
          <w:r>
            <w:t>Adult (18+ years)</w:t>
          </w:r>
        </w:sdtContent>
      </w:sdt>
    </w:p>
    <w:p w14:paraId="334DDA45">
      <w:pPr>
        <w:pStyle w:val="10"/>
        <w:spacing w:line="240" w:lineRule="auto"/>
      </w:pPr>
      <w:r>
        <w:t xml:space="preserve">Level: </w:t>
      </w:r>
      <w:sdt>
        <w:sdtPr>
          <w:id w:val="1177620892"/>
          <w:placeholder>
            <w:docPart w:val="51800F6E9F1F4E8CA085C4FEDEC9E375"/>
          </w:placeholder>
          <w:dropDownList>
            <w:listItem w:displayText="Medical Students" w:value="Medical Students"/>
            <w:listItem w:displayText="Junior Doctors" w:value="Junior Doctors"/>
            <w:listItem w:displayText="Qualified Practitioners" w:value="Qualified Practitioners"/>
          </w:dropDownList>
        </w:sdtPr>
        <w:sdtContent>
          <w:r>
            <w:t>Medical Students</w:t>
          </w:r>
        </w:sdtContent>
      </w:sdt>
    </w:p>
    <w:p w14:paraId="196E40AC">
      <w:pPr>
        <w:spacing w:line="360" w:lineRule="auto"/>
        <w:rPr>
          <w:rFonts w:eastAsia="等线"/>
          <w:szCs w:val="20"/>
          <w:lang w:val="en-US" w:eastAsia="zh-CN"/>
        </w:rPr>
      </w:pPr>
      <w:r>
        <w:rPr>
          <w:rFonts w:eastAsia="等线"/>
          <w:szCs w:val="20"/>
          <w:lang w:val="en-US" w:eastAsia="zh-CN"/>
        </w:rPr>
        <w:t>A 66-year-old Caucasian woman comes in for a routine annual physical examination. Her menopause occurred at age 51 years, and she is currently taking lisinopril for hypertension. The past medical history is unremarkable. She denies smoking. Her family history includes one maternal cousin with ovarian cancer. On examination, she is found to have a blood pressure (BP) of 120/70 mm Hg, a heart rate of 70 beats per minute, and a temperature of 98 °F (36.6 °C). She weighs 140 lb and is 5 feet, 4 inches tall. The thyroid is normal to palpation. Examination of her breasts reveals no masses or discharge. The abdominal, cardiac, and lung evaluations are within normal limits. The pelvic examination shows a normal, multiparous cervix, a normal-sized uterus, and no adnexal masses. She underwent mammography 3 months previously. Her lipid levels from last week include total cholesterol of 200 mg/dL, high-density lipoprotein (HDL) of 40 mg/dL, and low-density lipoprotein (LDL) of 120 mg/dL. She asks whether she should take a daily baby aspirin like her husband.</w:t>
      </w:r>
    </w:p>
    <w:p w14:paraId="4DFFC0DD">
      <w:pPr>
        <w:spacing w:line="360" w:lineRule="auto"/>
        <w:rPr>
          <w:rFonts w:eastAsia="等线"/>
          <w:b/>
          <w:bCs/>
          <w:color w:val="FF0000"/>
          <w:szCs w:val="20"/>
          <w:lang w:val="en-US" w:eastAsia="zh-CN"/>
        </w:rPr>
      </w:pPr>
      <w:r>
        <w:rPr>
          <w:rFonts w:eastAsia="等线"/>
          <w:b/>
          <w:bCs/>
          <w:color w:val="FF0000"/>
          <w:szCs w:val="20"/>
          <w:lang w:val="en-US" w:eastAsia="zh-CN"/>
        </w:rPr>
        <w:t>Questions</w:t>
      </w:r>
    </w:p>
    <w:p w14:paraId="6796AF48">
      <w:pPr>
        <w:spacing w:line="360" w:lineRule="auto"/>
        <w:rPr>
          <w:rFonts w:eastAsia="等线"/>
          <w:b/>
          <w:bCs/>
          <w:szCs w:val="20"/>
          <w:lang w:val="en-US" w:eastAsia="zh-CN"/>
        </w:rPr>
      </w:pPr>
      <w:bookmarkStart w:id="59" w:name="261189970"/>
      <w:bookmarkEnd w:id="59"/>
      <w:r>
        <w:rPr>
          <w:rFonts w:eastAsia="等线"/>
          <w:b/>
          <w:bCs/>
          <w:szCs w:val="20"/>
          <w:lang w:val="en-US" w:eastAsia="zh-CN"/>
        </w:rPr>
        <w:t>What is your next step?</w:t>
      </w:r>
    </w:p>
    <w:p w14:paraId="1ACF448F">
      <w:pPr>
        <w:spacing w:line="360" w:lineRule="auto"/>
        <w:rPr>
          <w:rFonts w:eastAsia="等线"/>
          <w:b/>
          <w:bCs/>
          <w:szCs w:val="20"/>
          <w:lang w:val="en-US" w:eastAsia="zh-CN"/>
        </w:rPr>
      </w:pPr>
      <w:bookmarkStart w:id="60" w:name="261189973"/>
      <w:bookmarkEnd w:id="60"/>
      <w:r>
        <w:rPr>
          <w:rFonts w:eastAsia="等线"/>
          <w:b/>
          <w:bCs/>
          <w:szCs w:val="20"/>
          <w:lang w:val="en-US" w:eastAsia="zh-CN"/>
        </w:rPr>
        <w:t>What medication would you recommend?</w:t>
      </w:r>
    </w:p>
    <w:p w14:paraId="1C85EEE7">
      <w:pPr>
        <w:spacing w:line="360" w:lineRule="auto"/>
        <w:rPr>
          <w:rFonts w:eastAsia="等线"/>
          <w:b/>
          <w:bCs/>
          <w:szCs w:val="20"/>
          <w:lang w:val="en-US" w:eastAsia="zh-CN"/>
        </w:rPr>
      </w:pPr>
      <w:bookmarkStart w:id="61" w:name="261189976"/>
      <w:bookmarkEnd w:id="61"/>
      <w:r>
        <w:rPr>
          <w:rFonts w:eastAsia="等线"/>
          <w:b/>
          <w:bCs/>
          <w:szCs w:val="20"/>
          <w:lang w:val="en-US" w:eastAsia="zh-CN"/>
        </w:rPr>
        <w:t>How would you counsel her regarding low-dose aspirin?</w:t>
      </w:r>
    </w:p>
    <w:p w14:paraId="592ADC4C">
      <w:pPr>
        <w:spacing w:line="360" w:lineRule="auto"/>
        <w:rPr>
          <w:rFonts w:eastAsia="等线"/>
          <w:b/>
          <w:bCs/>
          <w:szCs w:val="20"/>
          <w:lang w:val="en-US" w:eastAsia="zh-CN"/>
        </w:rPr>
      </w:pPr>
      <w:bookmarkStart w:id="62" w:name="261189979"/>
      <w:bookmarkEnd w:id="62"/>
      <w:r>
        <w:rPr>
          <w:rFonts w:eastAsia="等线"/>
          <w:b/>
          <w:bCs/>
          <w:szCs w:val="20"/>
          <w:lang w:val="en-US" w:eastAsia="zh-CN"/>
        </w:rPr>
        <w:t>What would be the most common cause of mortality for this patient?</w:t>
      </w:r>
    </w:p>
    <w:p w14:paraId="777FD54A">
      <w:pPr>
        <w:spacing w:line="360" w:lineRule="auto"/>
        <w:rPr>
          <w:rFonts w:eastAsia="等线"/>
          <w:b/>
          <w:bCs/>
          <w:color w:val="FF0000"/>
          <w:szCs w:val="20"/>
          <w:lang w:val="en-US" w:eastAsia="zh-CN"/>
        </w:rPr>
      </w:pPr>
      <w:r>
        <w:rPr>
          <w:rFonts w:eastAsia="等线"/>
          <w:b/>
          <w:bCs/>
          <w:color w:val="FF0000"/>
          <w:szCs w:val="20"/>
          <w:lang w:val="en-US" w:eastAsia="zh-CN"/>
        </w:rPr>
        <w:t xml:space="preserve">Answers </w:t>
      </w:r>
    </w:p>
    <w:p w14:paraId="25D6EF47">
      <w:pPr>
        <w:spacing w:line="360" w:lineRule="auto"/>
        <w:rPr>
          <w:rFonts w:eastAsia="等线"/>
          <w:szCs w:val="20"/>
          <w:lang w:val="en-US" w:eastAsia="zh-CN"/>
        </w:rPr>
      </w:pPr>
      <w:r>
        <w:rPr>
          <w:rFonts w:eastAsia="等线"/>
          <w:b/>
          <w:bCs/>
          <w:szCs w:val="20"/>
          <w:lang w:val="en-US" w:eastAsia="zh-CN"/>
        </w:rPr>
        <w:t>Answers to Case 29: Health Maintenance, Age 66 Years</w:t>
      </w:r>
    </w:p>
    <w:p w14:paraId="41A63FC6">
      <w:pPr>
        <w:spacing w:line="360" w:lineRule="auto"/>
        <w:rPr>
          <w:rFonts w:eastAsia="等线"/>
          <w:szCs w:val="20"/>
          <w:lang w:val="en-US" w:eastAsia="zh-CN"/>
        </w:rPr>
      </w:pPr>
      <w:bookmarkStart w:id="63" w:name="261189982"/>
      <w:bookmarkEnd w:id="63"/>
      <w:r>
        <w:rPr>
          <w:rFonts w:eastAsia="等线"/>
          <w:b/>
          <w:bCs/>
          <w:szCs w:val="20"/>
          <w:lang w:val="en-US" w:eastAsia="zh-CN"/>
        </w:rPr>
        <w:t>Summary:</w:t>
      </w:r>
      <w:r>
        <w:rPr>
          <w:rFonts w:eastAsia="等线"/>
          <w:szCs w:val="20"/>
          <w:lang w:val="en-US" w:eastAsia="zh-CN"/>
        </w:rPr>
        <w:t> A 66-year-old woman presents with</w:t>
      </w:r>
    </w:p>
    <w:p w14:paraId="21E97403">
      <w:pPr>
        <w:numPr>
          <w:ilvl w:val="0"/>
          <w:numId w:val="13"/>
        </w:numPr>
        <w:spacing w:line="360" w:lineRule="auto"/>
        <w:rPr>
          <w:rFonts w:eastAsia="等线"/>
          <w:szCs w:val="20"/>
          <w:lang w:val="en-US" w:eastAsia="zh-CN"/>
        </w:rPr>
      </w:pPr>
      <w:bookmarkStart w:id="64" w:name="261189983"/>
      <w:bookmarkEnd w:id="64"/>
      <w:r>
        <w:rPr>
          <w:rFonts w:eastAsia="等线"/>
          <w:szCs w:val="20"/>
          <w:lang w:val="en-US" w:eastAsia="zh-CN"/>
        </w:rPr>
        <w:t>Desire for health maintenance visit</w:t>
      </w:r>
    </w:p>
    <w:p w14:paraId="14144BD8">
      <w:pPr>
        <w:numPr>
          <w:ilvl w:val="0"/>
          <w:numId w:val="13"/>
        </w:numPr>
        <w:spacing w:line="360" w:lineRule="auto"/>
        <w:rPr>
          <w:rFonts w:eastAsia="等线"/>
          <w:szCs w:val="20"/>
          <w:lang w:val="en-US" w:eastAsia="zh-CN"/>
        </w:rPr>
      </w:pPr>
      <w:r>
        <w:rPr>
          <w:rFonts w:eastAsia="等线"/>
          <w:szCs w:val="20"/>
          <w:lang w:val="en-US" w:eastAsia="zh-CN"/>
        </w:rPr>
        <w:t>Caucasian race and no history of smoking</w:t>
      </w:r>
    </w:p>
    <w:p w14:paraId="69AE4C26">
      <w:pPr>
        <w:numPr>
          <w:ilvl w:val="0"/>
          <w:numId w:val="13"/>
        </w:numPr>
        <w:spacing w:line="360" w:lineRule="auto"/>
        <w:rPr>
          <w:rFonts w:eastAsia="等线"/>
          <w:szCs w:val="20"/>
          <w:lang w:val="en-US" w:eastAsia="zh-CN"/>
        </w:rPr>
      </w:pPr>
      <w:r>
        <w:rPr>
          <w:rFonts w:eastAsia="等线"/>
          <w:szCs w:val="20"/>
          <w:lang w:val="en-US" w:eastAsia="zh-CN"/>
        </w:rPr>
        <w:t>Last mammogram performed 3 months previously</w:t>
      </w:r>
    </w:p>
    <w:p w14:paraId="5EAC2DDC">
      <w:pPr>
        <w:numPr>
          <w:ilvl w:val="0"/>
          <w:numId w:val="13"/>
        </w:numPr>
        <w:spacing w:line="360" w:lineRule="auto"/>
        <w:rPr>
          <w:rFonts w:eastAsia="等线"/>
          <w:szCs w:val="20"/>
          <w:lang w:val="en-US" w:eastAsia="zh-CN"/>
        </w:rPr>
      </w:pPr>
      <w:r>
        <w:rPr>
          <w:rFonts w:eastAsia="等线"/>
          <w:szCs w:val="20"/>
          <w:lang w:val="en-US" w:eastAsia="zh-CN"/>
        </w:rPr>
        <w:t>A second-degree relative with ovarian cancer</w:t>
      </w:r>
    </w:p>
    <w:p w14:paraId="0E684BE2">
      <w:pPr>
        <w:numPr>
          <w:ilvl w:val="0"/>
          <w:numId w:val="13"/>
        </w:numPr>
        <w:spacing w:line="360" w:lineRule="auto"/>
        <w:rPr>
          <w:rFonts w:eastAsia="等线"/>
          <w:szCs w:val="20"/>
          <w:lang w:val="en-US" w:eastAsia="zh-CN"/>
        </w:rPr>
      </w:pPr>
      <w:r>
        <w:rPr>
          <w:rFonts w:eastAsia="等线"/>
          <w:szCs w:val="20"/>
          <w:lang w:val="en-US" w:eastAsia="zh-CN"/>
        </w:rPr>
        <w:t>Current medication of lisinopril for hypertension, with today’s BP of 120/70 mm Hg</w:t>
      </w:r>
    </w:p>
    <w:p w14:paraId="5233D359">
      <w:pPr>
        <w:numPr>
          <w:ilvl w:val="0"/>
          <w:numId w:val="13"/>
        </w:numPr>
        <w:spacing w:line="360" w:lineRule="auto"/>
        <w:rPr>
          <w:rFonts w:eastAsia="等线"/>
          <w:szCs w:val="20"/>
          <w:lang w:val="en-US" w:eastAsia="zh-CN"/>
        </w:rPr>
      </w:pPr>
      <w:r>
        <w:rPr>
          <w:rFonts w:eastAsia="等线"/>
          <w:szCs w:val="20"/>
          <w:lang w:val="en-US" w:eastAsia="zh-CN"/>
        </w:rPr>
        <w:t>Total cholesterol level of 200 mg/dL, HDL 40 mg/dL, and LDL 120 mg/dL</w:t>
      </w:r>
    </w:p>
    <w:p w14:paraId="293FEAA7">
      <w:pPr>
        <w:numPr>
          <w:ilvl w:val="0"/>
          <w:numId w:val="13"/>
        </w:numPr>
        <w:spacing w:line="360" w:lineRule="auto"/>
        <w:rPr>
          <w:rFonts w:eastAsia="等线"/>
          <w:szCs w:val="20"/>
          <w:lang w:val="en-US" w:eastAsia="zh-CN"/>
        </w:rPr>
      </w:pPr>
      <w:r>
        <w:rPr>
          <w:rFonts w:eastAsia="等线"/>
          <w:szCs w:val="20"/>
          <w:lang w:val="en-US" w:eastAsia="zh-CN"/>
        </w:rPr>
        <w:t>A question about low-dose aspirin use</w:t>
      </w:r>
    </w:p>
    <w:p w14:paraId="1419E309">
      <w:pPr>
        <w:spacing w:line="360" w:lineRule="auto"/>
        <w:rPr>
          <w:rFonts w:eastAsia="等线"/>
          <w:szCs w:val="20"/>
          <w:lang w:val="en-US" w:eastAsia="zh-CN"/>
        </w:rPr>
      </w:pPr>
      <w:bookmarkStart w:id="65" w:name="261189984"/>
      <w:bookmarkEnd w:id="65"/>
      <w:r>
        <w:rPr>
          <w:rFonts w:eastAsia="等线"/>
          <w:b/>
          <w:bCs/>
          <w:szCs w:val="20"/>
          <w:lang w:val="en-US" w:eastAsia="zh-CN"/>
        </w:rPr>
        <w:t>Next step:</w:t>
      </w:r>
      <w:r>
        <w:rPr>
          <w:rFonts w:eastAsia="等线"/>
          <w:szCs w:val="20"/>
          <w:lang w:val="en-US" w:eastAsia="zh-CN"/>
        </w:rPr>
        <w:t> Each of the following should be performed:</w:t>
      </w:r>
    </w:p>
    <w:p w14:paraId="402785FE">
      <w:pPr>
        <w:numPr>
          <w:ilvl w:val="0"/>
          <w:numId w:val="14"/>
        </w:numPr>
        <w:spacing w:line="360" w:lineRule="auto"/>
        <w:rPr>
          <w:rFonts w:eastAsia="等线"/>
          <w:szCs w:val="20"/>
          <w:lang w:val="en-US" w:eastAsia="zh-CN"/>
        </w:rPr>
      </w:pPr>
      <w:bookmarkStart w:id="66" w:name="261189985"/>
      <w:bookmarkEnd w:id="66"/>
      <w:r>
        <w:rPr>
          <w:rFonts w:eastAsia="等线"/>
          <w:szCs w:val="20"/>
          <w:lang w:val="en-US" w:eastAsia="zh-CN"/>
        </w:rPr>
        <w:t>Calculate the body mass index (BMI)</w:t>
      </w:r>
    </w:p>
    <w:p w14:paraId="474C442E">
      <w:pPr>
        <w:numPr>
          <w:ilvl w:val="0"/>
          <w:numId w:val="14"/>
        </w:numPr>
        <w:spacing w:line="360" w:lineRule="auto"/>
        <w:rPr>
          <w:rFonts w:eastAsia="等线"/>
          <w:szCs w:val="20"/>
          <w:lang w:val="en-US" w:eastAsia="zh-CN"/>
        </w:rPr>
      </w:pPr>
      <w:r>
        <w:rPr>
          <w:rFonts w:eastAsia="等线"/>
          <w:szCs w:val="20"/>
          <w:lang w:val="en-US" w:eastAsia="zh-CN"/>
        </w:rPr>
        <w:t>Screen for colorectal cancer</w:t>
      </w:r>
    </w:p>
    <w:p w14:paraId="53E0698F">
      <w:pPr>
        <w:numPr>
          <w:ilvl w:val="0"/>
          <w:numId w:val="14"/>
        </w:numPr>
        <w:spacing w:line="360" w:lineRule="auto"/>
        <w:rPr>
          <w:rFonts w:eastAsia="等线"/>
          <w:szCs w:val="20"/>
          <w:lang w:val="en-US" w:eastAsia="zh-CN"/>
        </w:rPr>
      </w:pPr>
      <w:r>
        <w:rPr>
          <w:rFonts w:eastAsia="等线"/>
          <w:szCs w:val="20"/>
          <w:lang w:val="en-US" w:eastAsia="zh-CN"/>
        </w:rPr>
        <w:t>Give pneumococcal vaccine, influenza vaccine, tetanus and diphtheria vaccines (if not performed within the past 10 years), and herpes zoster vaccine</w:t>
      </w:r>
    </w:p>
    <w:p w14:paraId="633E6C69">
      <w:pPr>
        <w:numPr>
          <w:ilvl w:val="0"/>
          <w:numId w:val="14"/>
        </w:numPr>
        <w:spacing w:line="360" w:lineRule="auto"/>
        <w:rPr>
          <w:rFonts w:eastAsia="等线"/>
          <w:szCs w:val="20"/>
          <w:lang w:val="en-US" w:eastAsia="zh-CN"/>
        </w:rPr>
      </w:pPr>
      <w:r>
        <w:rPr>
          <w:rFonts w:eastAsia="等线"/>
          <w:szCs w:val="20"/>
          <w:lang w:val="en-US" w:eastAsia="zh-CN"/>
        </w:rPr>
        <w:t>Obtain a fasting blood glucose level and thyroid function tests</w:t>
      </w:r>
    </w:p>
    <w:p w14:paraId="6CD1F3B3">
      <w:pPr>
        <w:numPr>
          <w:ilvl w:val="0"/>
          <w:numId w:val="14"/>
        </w:numPr>
        <w:spacing w:line="360" w:lineRule="auto"/>
        <w:rPr>
          <w:rFonts w:eastAsia="等线"/>
          <w:szCs w:val="20"/>
          <w:lang w:val="en-US" w:eastAsia="zh-CN"/>
        </w:rPr>
      </w:pPr>
      <w:r>
        <w:rPr>
          <w:rFonts w:eastAsia="等线"/>
          <w:szCs w:val="20"/>
          <w:lang w:val="en-US" w:eastAsia="zh-CN"/>
        </w:rPr>
        <w:t>Perform bone mineral density screening</w:t>
      </w:r>
    </w:p>
    <w:p w14:paraId="4D7F0806">
      <w:pPr>
        <w:numPr>
          <w:ilvl w:val="0"/>
          <w:numId w:val="14"/>
        </w:numPr>
        <w:spacing w:line="360" w:lineRule="auto"/>
        <w:rPr>
          <w:rFonts w:eastAsia="等线"/>
          <w:szCs w:val="20"/>
          <w:lang w:val="en-US" w:eastAsia="zh-CN"/>
        </w:rPr>
      </w:pPr>
      <w:r>
        <w:rPr>
          <w:rFonts w:eastAsia="等线"/>
          <w:szCs w:val="20"/>
          <w:lang w:val="en-US" w:eastAsia="zh-CN"/>
        </w:rPr>
        <w:t>Order a urinalysis</w:t>
      </w:r>
    </w:p>
    <w:p w14:paraId="1D639A89">
      <w:pPr>
        <w:spacing w:line="360" w:lineRule="auto"/>
        <w:rPr>
          <w:rFonts w:eastAsia="等线"/>
          <w:szCs w:val="20"/>
          <w:lang w:val="en-US" w:eastAsia="zh-CN"/>
        </w:rPr>
      </w:pPr>
      <w:bookmarkStart w:id="67" w:name="261189986"/>
      <w:bookmarkEnd w:id="67"/>
      <w:r>
        <w:rPr>
          <w:rFonts w:eastAsia="等线"/>
          <w:b/>
          <w:bCs/>
          <w:szCs w:val="20"/>
          <w:lang w:val="en-US" w:eastAsia="zh-CN"/>
        </w:rPr>
        <w:t>Medication to recommend:</w:t>
      </w:r>
      <w:r>
        <w:rPr>
          <w:rFonts w:eastAsia="等线"/>
          <w:szCs w:val="20"/>
          <w:lang w:val="en-US" w:eastAsia="zh-CN"/>
        </w:rPr>
        <w:t> Because of her intermediate risk of developing an atherosclerotic cardiovascular disease (ASCVD) in the next 10 years, a moderate-intensity statin agent would be recommended.</w:t>
      </w:r>
    </w:p>
    <w:p w14:paraId="112C30C5">
      <w:pPr>
        <w:spacing w:line="360" w:lineRule="auto"/>
        <w:rPr>
          <w:rFonts w:eastAsia="等线"/>
          <w:szCs w:val="20"/>
          <w:lang w:val="en-US" w:eastAsia="zh-CN"/>
        </w:rPr>
      </w:pPr>
      <w:bookmarkStart w:id="68" w:name="261189987"/>
      <w:bookmarkEnd w:id="68"/>
      <w:r>
        <w:rPr>
          <w:rFonts w:eastAsia="等线"/>
          <w:b/>
          <w:bCs/>
          <w:szCs w:val="20"/>
          <w:lang w:val="en-US" w:eastAsia="zh-CN"/>
        </w:rPr>
        <w:t>Counsel regarding low-dose aspirin:</w:t>
      </w:r>
      <w:r>
        <w:rPr>
          <w:rFonts w:eastAsia="等线"/>
          <w:szCs w:val="20"/>
          <w:lang w:val="en-US" w:eastAsia="zh-CN"/>
        </w:rPr>
        <w:t> Low-dose aspirin for primary prevention of cardiovascular disease and colon cancer is reserved for patients at high risk for a cardiovascular event (greater than 20% over 10 years), which would not likely be the case in this patient.</w:t>
      </w:r>
    </w:p>
    <w:p w14:paraId="6757B57A">
      <w:pPr>
        <w:spacing w:line="360" w:lineRule="auto"/>
        <w:rPr>
          <w:rFonts w:eastAsia="等线"/>
          <w:szCs w:val="20"/>
          <w:lang w:val="en-US" w:eastAsia="zh-CN"/>
        </w:rPr>
      </w:pPr>
      <w:bookmarkStart w:id="69" w:name="261189988"/>
      <w:bookmarkEnd w:id="69"/>
      <w:r>
        <w:rPr>
          <w:rFonts w:eastAsia="等线"/>
          <w:b/>
          <w:bCs/>
          <w:szCs w:val="20"/>
          <w:lang w:val="en-US" w:eastAsia="zh-CN"/>
        </w:rPr>
        <w:t>Most common cause of mortality:</w:t>
      </w:r>
      <w:r>
        <w:rPr>
          <w:rFonts w:eastAsia="等线"/>
          <w:szCs w:val="20"/>
          <w:lang w:val="en-US" w:eastAsia="zh-CN"/>
        </w:rPr>
        <w:t> Cardiovascular disease is the most likely cause of death, but this patient would not be deemed high risk.</w:t>
      </w:r>
    </w:p>
    <w:p w14:paraId="2ADA0734">
      <w:pPr>
        <w:spacing w:line="360" w:lineRule="auto"/>
        <w:rPr>
          <w:rFonts w:eastAsia="等线"/>
          <w:szCs w:val="20"/>
          <w:lang w:val="en-US" w:eastAsia="zh-CN"/>
        </w:rPr>
      </w:pPr>
      <w:bookmarkStart w:id="70" w:name="261189989"/>
      <w:bookmarkEnd w:id="70"/>
      <w:r>
        <w:rPr>
          <w:rFonts w:eastAsia="等线"/>
          <w:b/>
          <w:bCs/>
          <w:szCs w:val="20"/>
          <w:lang w:val="en-US" w:eastAsia="zh-CN"/>
        </w:rPr>
        <w:t>Analysis</w:t>
      </w:r>
    </w:p>
    <w:p w14:paraId="09530F5D">
      <w:pPr>
        <w:spacing w:line="360" w:lineRule="auto"/>
        <w:rPr>
          <w:rFonts w:eastAsia="等线"/>
          <w:szCs w:val="20"/>
          <w:lang w:val="en-US" w:eastAsia="zh-CN"/>
        </w:rPr>
      </w:pPr>
      <w:bookmarkStart w:id="71" w:name="261189990"/>
      <w:bookmarkEnd w:id="71"/>
      <w:r>
        <w:rPr>
          <w:rFonts w:eastAsia="等线"/>
          <w:b/>
          <w:bCs/>
          <w:i/>
          <w:iCs/>
          <w:szCs w:val="20"/>
          <w:lang w:val="en-US" w:eastAsia="zh-CN"/>
        </w:rPr>
        <w:t>Objectives</w:t>
      </w:r>
    </w:p>
    <w:p w14:paraId="52812279">
      <w:pPr>
        <w:numPr>
          <w:ilvl w:val="0"/>
          <w:numId w:val="15"/>
        </w:numPr>
        <w:spacing w:line="360" w:lineRule="auto"/>
        <w:rPr>
          <w:rFonts w:eastAsia="等线"/>
          <w:szCs w:val="20"/>
          <w:lang w:val="en-US" w:eastAsia="zh-CN"/>
        </w:rPr>
      </w:pPr>
      <w:bookmarkStart w:id="72" w:name="261189991"/>
      <w:bookmarkEnd w:id="72"/>
      <w:r>
        <w:rPr>
          <w:rFonts w:eastAsia="等线"/>
          <w:szCs w:val="20"/>
          <w:lang w:val="en-US" w:eastAsia="zh-CN"/>
        </w:rPr>
        <w:t>Describe the health maintenance studies that should be recommended for a 66-year-old woman. (EPA 3, 11, 12)</w:t>
      </w:r>
    </w:p>
    <w:p w14:paraId="3F1464EF">
      <w:pPr>
        <w:numPr>
          <w:ilvl w:val="0"/>
          <w:numId w:val="15"/>
        </w:numPr>
        <w:spacing w:line="360" w:lineRule="auto"/>
        <w:rPr>
          <w:rFonts w:eastAsia="等线"/>
          <w:szCs w:val="20"/>
          <w:lang w:val="en-US" w:eastAsia="zh-CN"/>
        </w:rPr>
      </w:pPr>
      <w:r>
        <w:rPr>
          <w:rFonts w:eastAsia="等线"/>
          <w:szCs w:val="20"/>
          <w:lang w:val="en-US" w:eastAsia="zh-CN"/>
        </w:rPr>
        <w:t>List the most common cause of mortality for a woman in this age group. (EPA 12)</w:t>
      </w:r>
    </w:p>
    <w:p w14:paraId="0C70EAA9">
      <w:pPr>
        <w:numPr>
          <w:ilvl w:val="0"/>
          <w:numId w:val="15"/>
        </w:numPr>
        <w:spacing w:line="360" w:lineRule="auto"/>
        <w:rPr>
          <w:rFonts w:eastAsia="等线"/>
          <w:szCs w:val="20"/>
          <w:lang w:val="en-US" w:eastAsia="zh-CN"/>
        </w:rPr>
      </w:pPr>
      <w:r>
        <w:rPr>
          <w:rFonts w:eastAsia="等线"/>
          <w:szCs w:val="20"/>
          <w:lang w:val="en-US" w:eastAsia="zh-CN"/>
        </w:rPr>
        <w:t>Apply the principles of preventive maintenance, which consists of cancer screening, immunizations, and screening for common diseases. (EPA 3, 4, 11)</w:t>
      </w:r>
    </w:p>
    <w:p w14:paraId="62E713F5">
      <w:pPr>
        <w:spacing w:line="360" w:lineRule="auto"/>
        <w:rPr>
          <w:rFonts w:eastAsia="等线"/>
          <w:szCs w:val="20"/>
          <w:lang w:val="en-US" w:eastAsia="zh-CN"/>
        </w:rPr>
      </w:pPr>
      <w:bookmarkStart w:id="73" w:name="261189992"/>
      <w:bookmarkEnd w:id="73"/>
      <w:r>
        <w:rPr>
          <w:rFonts w:eastAsia="等线"/>
          <w:b/>
          <w:bCs/>
          <w:i/>
          <w:iCs/>
          <w:szCs w:val="20"/>
          <w:lang w:val="en-US" w:eastAsia="zh-CN"/>
        </w:rPr>
        <w:t>Considerations</w:t>
      </w:r>
    </w:p>
    <w:p w14:paraId="55F5918B">
      <w:pPr>
        <w:spacing w:line="360" w:lineRule="auto"/>
        <w:rPr>
          <w:rFonts w:eastAsia="等线"/>
          <w:szCs w:val="20"/>
          <w:lang w:val="en-US" w:eastAsia="zh-CN"/>
        </w:rPr>
      </w:pPr>
      <w:bookmarkStart w:id="74" w:name="261189993"/>
      <w:bookmarkEnd w:id="74"/>
      <w:r>
        <w:rPr>
          <w:rFonts w:eastAsia="等线"/>
          <w:szCs w:val="20"/>
          <w:lang w:val="en-US" w:eastAsia="zh-CN"/>
        </w:rPr>
        <w:t>The approach to health maintenance includes three parts: (1) cancer screening, (2) immunizations, and (3) addressing common diseases for the particular patient group. For a 66-year-old woman, this includes annual mammography for breast cancer screening, colon cancer screening (annual stool test for occult blood and either intermittent colonoscopy or air contrast barium enema), tetanus and diphtheria booster every 10 years, the pneumococcal vaccine, annual influenza immunization, and herpes zoster vaccine. She should undergo a lipid profile every 5 years up to the age of 75 years, thyroid function testing every 5 years, and fasting blood glucose levels every 3 years. Cervical cancer screening can be stopped at age 65 if all previous Pap smears have been normal.</w:t>
      </w:r>
    </w:p>
    <w:p w14:paraId="48DD5EC8">
      <w:pPr>
        <w:spacing w:line="360" w:lineRule="auto"/>
        <w:rPr>
          <w:rFonts w:eastAsia="等线"/>
          <w:szCs w:val="20"/>
          <w:lang w:val="en-US" w:eastAsia="zh-CN"/>
        </w:rPr>
      </w:pPr>
      <w:bookmarkStart w:id="75" w:name="261189994"/>
      <w:bookmarkEnd w:id="75"/>
      <w:r>
        <w:rPr>
          <w:rFonts w:eastAsia="等线"/>
          <w:szCs w:val="20"/>
          <w:lang w:val="en-US" w:eastAsia="zh-CN"/>
        </w:rPr>
        <w:t>The most common cause of mortality in a woman in this age group is cardiovascular disease. Screening for cardiovascular disease includes high blood pressure screening every year and testing for dyslipidemia in men starting at age 35 and in women starting at age 45; screening for dyslipidemia should begin sooner if there are risk factors such as family history, history of diabetes, tobacco use, or BMI greater than 30. There are numerous online tools to estimate ASCVD risk over the next 10 years, such as by the American College of Cardiology (</w:t>
      </w:r>
      <w:r>
        <w:fldChar w:fldCharType="begin"/>
      </w:r>
      <w:r>
        <w:instrText xml:space="preserve"> HYPERLINK "http://tools.acc.org/ASCVD-Risk-Estimator-Plus/" \l "!/calculate/estimate/" \t "_blank" </w:instrText>
      </w:r>
      <w:r>
        <w:fldChar w:fldCharType="separate"/>
      </w:r>
      <w:r>
        <w:rPr>
          <w:rStyle w:val="17"/>
          <w:rFonts w:eastAsia="等线"/>
          <w:szCs w:val="20"/>
          <w:lang w:val="en-US" w:eastAsia="zh-CN"/>
        </w:rPr>
        <w:t>http://tools.acc.org/ASCVD-Risk-Estimator-Plus/#!/calculate/estimate/</w:t>
      </w:r>
      <w:r>
        <w:rPr>
          <w:rStyle w:val="17"/>
          <w:rFonts w:eastAsia="等线"/>
          <w:szCs w:val="20"/>
          <w:lang w:val="en-US" w:eastAsia="zh-CN"/>
        </w:rPr>
        <w:fldChar w:fldCharType="end"/>
      </w:r>
      <w:r>
        <w:rPr>
          <w:rFonts w:eastAsia="等线"/>
          <w:szCs w:val="20"/>
          <w:lang w:val="en-US" w:eastAsia="zh-CN"/>
        </w:rPr>
        <w:t>). Based on this patient’s information, she has an intermediate risk of 8.2% of developing an ASCVD event in the next 10 years. By beginning a moderate-intensity statin agent, her risk would be decreased to 6.2%. Because urinary tract–related sepsis is common in geriatric patients, a urinalysis is also usually performed. Osteoporosis screening is indicated for women aged 65 and over. Ethnicity is relevant in that Caucasian women have an increased risk of osteoporosis; if she were Black, she would have a higher risk of colon cancer.</w:t>
      </w:r>
    </w:p>
    <w:p w14:paraId="30FCEE12">
      <w:pPr>
        <w:spacing w:line="360" w:lineRule="auto"/>
        <w:rPr>
          <w:rFonts w:eastAsia="等线"/>
          <w:b/>
          <w:bCs/>
          <w:color w:val="FF0000"/>
          <w:szCs w:val="20"/>
          <w:lang w:val="en-US" w:eastAsia="zh-CN"/>
        </w:rPr>
      </w:pPr>
      <w:r>
        <w:rPr>
          <w:rFonts w:eastAsia="等线"/>
          <w:b/>
          <w:bCs/>
          <w:color w:val="FF0000"/>
          <w:szCs w:val="20"/>
          <w:lang w:val="en-US" w:eastAsia="zh-CN"/>
        </w:rPr>
        <w:t>Clinical Approach</w:t>
      </w:r>
    </w:p>
    <w:p w14:paraId="29B8F7A5">
      <w:pPr>
        <w:spacing w:line="360" w:lineRule="auto"/>
        <w:rPr>
          <w:rFonts w:eastAsia="等线"/>
          <w:b/>
          <w:bCs/>
          <w:szCs w:val="20"/>
          <w:lang w:val="en-US" w:eastAsia="zh-CN"/>
        </w:rPr>
      </w:pPr>
      <w:r>
        <w:rPr>
          <w:rFonts w:eastAsia="等线"/>
          <w:b/>
          <w:bCs/>
          <w:szCs w:val="20"/>
          <w:lang w:val="en-US" w:eastAsia="zh-CN"/>
        </w:rPr>
        <w:t>Definitions</w:t>
      </w:r>
    </w:p>
    <w:p w14:paraId="38014DA8">
      <w:pPr>
        <w:numPr>
          <w:ilvl w:val="0"/>
          <w:numId w:val="16"/>
        </w:numPr>
        <w:spacing w:line="360" w:lineRule="auto"/>
        <w:rPr>
          <w:rFonts w:eastAsia="等线"/>
          <w:szCs w:val="20"/>
          <w:lang w:val="en-US" w:eastAsia="zh-CN"/>
        </w:rPr>
      </w:pPr>
      <w:bookmarkStart w:id="76" w:name="259864282"/>
      <w:bookmarkEnd w:id="76"/>
      <w:bookmarkStart w:id="77" w:name="259864281"/>
      <w:bookmarkEnd w:id="77"/>
      <w:r>
        <w:rPr>
          <w:rFonts w:eastAsia="等线"/>
          <w:szCs w:val="20"/>
          <w:lang w:val="en-US" w:eastAsia="zh-CN"/>
        </w:rPr>
        <w:t>COST-EFFECTIVENESS: A comparison of resources expended (dollars) in an intervention versus the benefit, which may be measured in life-years or quality-adjusted life-years.</w:t>
      </w:r>
    </w:p>
    <w:p w14:paraId="250D0245">
      <w:pPr>
        <w:numPr>
          <w:ilvl w:val="0"/>
          <w:numId w:val="16"/>
        </w:numPr>
        <w:spacing w:line="360" w:lineRule="auto"/>
        <w:rPr>
          <w:rFonts w:eastAsia="等线"/>
          <w:szCs w:val="20"/>
          <w:lang w:val="en-US" w:eastAsia="zh-CN"/>
        </w:rPr>
      </w:pPr>
      <w:r>
        <w:rPr>
          <w:rFonts w:eastAsia="等线"/>
          <w:szCs w:val="20"/>
          <w:lang w:val="en-US" w:eastAsia="zh-CN"/>
        </w:rPr>
        <w:t>PRIMARY PREVENTION: Identifying and modifying risk factors in people who have never had the disease of concern.</w:t>
      </w:r>
    </w:p>
    <w:p w14:paraId="7F1CDB8B">
      <w:pPr>
        <w:numPr>
          <w:ilvl w:val="0"/>
          <w:numId w:val="16"/>
        </w:numPr>
        <w:spacing w:line="360" w:lineRule="auto"/>
        <w:rPr>
          <w:rFonts w:eastAsia="等线"/>
          <w:szCs w:val="20"/>
          <w:lang w:val="en-US" w:eastAsia="zh-CN"/>
        </w:rPr>
      </w:pPr>
      <w:r>
        <w:rPr>
          <w:rFonts w:eastAsia="等线"/>
          <w:szCs w:val="20"/>
          <w:lang w:val="en-US" w:eastAsia="zh-CN"/>
        </w:rPr>
        <w:t>SCREENING TEST: A study used to identify asymptomatic disease in the hope that early detection will lead to an improved outcome. An optimal screening test has high sensitivity and specificity, is inexpensive, and is easy to perform.</w:t>
      </w:r>
    </w:p>
    <w:p w14:paraId="111F5278">
      <w:pPr>
        <w:numPr>
          <w:ilvl w:val="0"/>
          <w:numId w:val="16"/>
        </w:numPr>
        <w:spacing w:line="360" w:lineRule="auto"/>
        <w:rPr>
          <w:rFonts w:eastAsia="等线"/>
          <w:szCs w:val="20"/>
          <w:lang w:val="en-US" w:eastAsia="zh-CN"/>
        </w:rPr>
      </w:pPr>
      <w:r>
        <w:rPr>
          <w:rFonts w:eastAsia="等线"/>
          <w:szCs w:val="20"/>
          <w:lang w:val="en-US" w:eastAsia="zh-CN"/>
        </w:rPr>
        <w:t>SECONDARY PREVENTION: Actions taken to reduce morbidity or mortality once a disease has been diagnosed.</w:t>
      </w:r>
    </w:p>
    <w:p w14:paraId="79AB7984">
      <w:pPr>
        <w:spacing w:line="360" w:lineRule="auto"/>
        <w:rPr>
          <w:rFonts w:eastAsia="等线"/>
          <w:b/>
          <w:bCs/>
          <w:szCs w:val="20"/>
          <w:lang w:val="en-US" w:eastAsia="zh-CN"/>
        </w:rPr>
      </w:pPr>
      <w:r>
        <w:rPr>
          <w:rFonts w:eastAsia="等线"/>
          <w:b/>
          <w:bCs/>
          <w:szCs w:val="20"/>
          <w:lang w:val="en-US" w:eastAsia="zh-CN"/>
        </w:rPr>
        <w:t>Clinical Approach</w:t>
      </w:r>
    </w:p>
    <w:p w14:paraId="4261B86F">
      <w:pPr>
        <w:spacing w:line="360" w:lineRule="auto"/>
        <w:rPr>
          <w:rFonts w:eastAsia="等线"/>
          <w:b/>
          <w:bCs/>
          <w:szCs w:val="20"/>
          <w:lang w:val="en-US" w:eastAsia="zh-CN"/>
        </w:rPr>
      </w:pPr>
      <w:bookmarkStart w:id="78" w:name="259864283"/>
      <w:bookmarkEnd w:id="78"/>
      <w:r>
        <w:rPr>
          <w:rFonts w:eastAsia="等线"/>
          <w:b/>
          <w:bCs/>
          <w:szCs w:val="20"/>
          <w:lang w:val="en-US" w:eastAsia="zh-CN"/>
        </w:rPr>
        <w:t>Disease Prevention</w:t>
      </w:r>
    </w:p>
    <w:p w14:paraId="39ED615A">
      <w:pPr>
        <w:spacing w:line="360" w:lineRule="auto"/>
        <w:rPr>
          <w:rFonts w:eastAsia="等线"/>
          <w:szCs w:val="20"/>
          <w:lang w:val="en-US" w:eastAsia="zh-CN"/>
        </w:rPr>
      </w:pPr>
      <w:bookmarkStart w:id="79" w:name="259864284"/>
      <w:bookmarkEnd w:id="79"/>
      <w:bookmarkStart w:id="80" w:name="259864285"/>
      <w:bookmarkEnd w:id="80"/>
      <w:r>
        <w:rPr>
          <w:rFonts w:eastAsia="等线"/>
          <w:szCs w:val="20"/>
          <w:lang w:val="en-US" w:eastAsia="zh-CN"/>
        </w:rPr>
        <w:t>When the patient does not have any apparent disease or complaint, the goal of medical intervention is disease prevention. One method of targeting diseases is by using the patient’s age (</w:t>
      </w:r>
      <w:r>
        <w:fldChar w:fldCharType="begin"/>
      </w:r>
      <w:r>
        <w:instrText xml:space="preserve"> HYPERLINK "https://casefiles.mhmedical.com/CaseContent.aspx?gbosID=568921&amp;gbosContainerID=271&amp;viewByNumber=false&amp;groupid=0" \l "casefiles.obgyn6e_cs29tb1" </w:instrText>
      </w:r>
      <w:r>
        <w:fldChar w:fldCharType="separate"/>
      </w:r>
      <w:r>
        <w:rPr>
          <w:rStyle w:val="17"/>
          <w:rFonts w:eastAsia="等线"/>
          <w:szCs w:val="20"/>
          <w:lang w:val="en-US" w:eastAsia="zh-CN"/>
        </w:rPr>
        <w:t>Table 29–1</w:t>
      </w:r>
      <w:r>
        <w:rPr>
          <w:rStyle w:val="17"/>
          <w:rFonts w:eastAsia="等线"/>
          <w:szCs w:val="20"/>
          <w:lang w:val="en-US" w:eastAsia="zh-CN"/>
        </w:rPr>
        <w:fldChar w:fldCharType="end"/>
      </w:r>
      <w:r>
        <w:rPr>
          <w:rFonts w:eastAsia="等线"/>
          <w:szCs w:val="20"/>
          <w:lang w:val="en-US" w:eastAsia="zh-CN"/>
        </w:rPr>
        <w:t>). For example, the most common cause of death for a 16-year-old person is a motor vehicle accident; hence, the teenage patient would be well served by the clinician encouraging him or her to wear seat belts and to avoid alcohol intoxication when driving. In contrast, a 56-year-old woman will most likely die of cardiovascular disease, so the provider should focus on exercise, weight loss, and screening for hyperlipidemia. In a woman beyond 65 years of age, if prior Pap smears have been normal, cervical cancer screening is not cost-effective. Patients who have had a total hysterectomy (removal of uterine corpus and cervix) do not require vaginal cytology (Pap smears) as long as the patient has no history of cervical dysplasia. See </w:t>
      </w:r>
      <w:r>
        <w:fldChar w:fldCharType="begin"/>
      </w:r>
      <w:r>
        <w:instrText xml:space="preserve"> HYPERLINK "https://casefiles.mhmedical.com/CaseContent.aspx?gbosID=568921&amp;gbosContainerID=271&amp;viewByNumber=false&amp;groupid=0" \l "casefiles.obgyn6e_cs29tb2" </w:instrText>
      </w:r>
      <w:r>
        <w:fldChar w:fldCharType="separate"/>
      </w:r>
      <w:r>
        <w:rPr>
          <w:rStyle w:val="17"/>
          <w:rFonts w:eastAsia="等线"/>
          <w:szCs w:val="20"/>
          <w:lang w:val="en-US" w:eastAsia="zh-CN"/>
        </w:rPr>
        <w:t>Table 29–2</w:t>
      </w:r>
      <w:r>
        <w:rPr>
          <w:rStyle w:val="17"/>
          <w:rFonts w:eastAsia="等线"/>
          <w:szCs w:val="20"/>
          <w:lang w:val="en-US" w:eastAsia="zh-CN"/>
        </w:rPr>
        <w:fldChar w:fldCharType="end"/>
      </w:r>
      <w:r>
        <w:rPr>
          <w:rFonts w:eastAsia="等线"/>
          <w:szCs w:val="20"/>
          <w:lang w:val="en-US" w:eastAsia="zh-CN"/>
        </w:rPr>
        <w:t> for cervical cytology screening guidelines.</w:t>
      </w:r>
    </w:p>
    <w:p w14:paraId="760D709B">
      <w:pPr>
        <w:spacing w:line="360" w:lineRule="auto"/>
        <w:rPr>
          <w:rFonts w:hint="eastAsia" w:eastAsia="等线"/>
          <w:b/>
          <w:bCs/>
          <w:szCs w:val="20"/>
          <w:lang w:val="en-US" w:eastAsia="zh-CN"/>
        </w:rPr>
      </w:pPr>
      <w:r>
        <w:rPr>
          <w:rFonts w:eastAsia="等线"/>
          <w:b/>
          <w:bCs/>
          <w:szCs w:val="20"/>
          <w:lang w:val="en-US" w:eastAsia="zh-CN"/>
        </w:rPr>
        <w:t>SCREENING BASED ON AGE</w:t>
      </w:r>
      <w:bookmarkStart w:id="81" w:name="259864286"/>
      <w:bookmarkEnd w:id="81"/>
    </w:p>
    <w:p w14:paraId="7CA5D41B">
      <w:pPr>
        <w:spacing w:line="360" w:lineRule="auto"/>
        <w:rPr>
          <w:rFonts w:eastAsia="等线"/>
          <w:szCs w:val="20"/>
          <w:lang w:val="en-US" w:eastAsia="zh-CN"/>
        </w:rPr>
      </w:pPr>
      <w:r>
        <w:rPr>
          <w:rFonts w:eastAsia="等线"/>
          <w:szCs w:val="20"/>
          <w:lang w:val="en-US" w:eastAsia="zh-CN"/>
        </w:rPr>
        <w:t>Table 29–1SCREENING BASED ON AGE</w:t>
      </w:r>
    </w:p>
    <w:tbl>
      <w:tblPr>
        <w:tblStyle w:val="14"/>
        <w:tblW w:w="5000" w:type="pct"/>
        <w:tblInd w:w="0" w:type="dxa"/>
        <w:tblLayout w:type="autofit"/>
        <w:tblCellMar>
          <w:top w:w="15" w:type="dxa"/>
          <w:left w:w="15" w:type="dxa"/>
          <w:bottom w:w="15" w:type="dxa"/>
          <w:right w:w="15" w:type="dxa"/>
        </w:tblCellMar>
      </w:tblPr>
      <w:tblGrid>
        <w:gridCol w:w="1074"/>
        <w:gridCol w:w="1792"/>
        <w:gridCol w:w="2227"/>
        <w:gridCol w:w="2160"/>
        <w:gridCol w:w="1803"/>
      </w:tblGrid>
      <w:tr w14:paraId="7C635B41">
        <w:tblPrEx>
          <w:tblCellMar>
            <w:top w:w="15" w:type="dxa"/>
            <w:left w:w="15" w:type="dxa"/>
            <w:bottom w:w="15" w:type="dxa"/>
            <w:right w:w="15" w:type="dxa"/>
          </w:tblCellMar>
        </w:tblPrEx>
        <w:trPr>
          <w:tblHeader/>
        </w:trPr>
        <w:tc>
          <w:tcPr>
            <w:tcW w:w="572" w:type="pct"/>
            <w:tcBorders>
              <w:top w:val="single" w:color="C9C9C9" w:sz="6" w:space="0"/>
              <w:left w:val="single" w:color="C9C9C9" w:sz="6" w:space="0"/>
              <w:bottom w:val="single" w:color="C9C9C9" w:sz="6" w:space="0"/>
              <w:right w:val="single" w:color="C9C9C9" w:sz="6" w:space="0"/>
            </w:tcBorders>
            <w:vAlign w:val="center"/>
          </w:tcPr>
          <w:p w14:paraId="00C6FBEF">
            <w:pPr>
              <w:spacing w:line="360" w:lineRule="auto"/>
              <w:rPr>
                <w:rFonts w:eastAsia="等线"/>
                <w:szCs w:val="20"/>
                <w:lang w:val="en-US" w:eastAsia="zh-CN"/>
              </w:rPr>
            </w:pPr>
            <w:r>
              <w:rPr>
                <w:rFonts w:eastAsia="等线"/>
                <w:szCs w:val="20"/>
                <w:lang w:val="en-US" w:eastAsia="zh-CN"/>
              </w:rPr>
              <w:t> </w:t>
            </w:r>
          </w:p>
        </w:tc>
        <w:tc>
          <w:tcPr>
            <w:tcW w:w="1123" w:type="pct"/>
            <w:tcBorders>
              <w:top w:val="single" w:color="C9C9C9" w:sz="6" w:space="0"/>
              <w:left w:val="single" w:color="C9C9C9" w:sz="6" w:space="0"/>
              <w:bottom w:val="single" w:color="C9C9C9" w:sz="6" w:space="0"/>
              <w:right w:val="single" w:color="C9C9C9" w:sz="6" w:space="0"/>
            </w:tcBorders>
            <w:vAlign w:val="center"/>
          </w:tcPr>
          <w:p w14:paraId="6CBBB77E">
            <w:pPr>
              <w:spacing w:line="360" w:lineRule="auto"/>
              <w:rPr>
                <w:rFonts w:eastAsia="等线"/>
                <w:szCs w:val="20"/>
                <w:lang w:val="en-US" w:eastAsia="zh-CN"/>
              </w:rPr>
            </w:pPr>
            <w:r>
              <w:rPr>
                <w:rFonts w:eastAsia="等线"/>
                <w:szCs w:val="20"/>
                <w:lang w:val="en-US" w:eastAsia="zh-CN"/>
              </w:rPr>
              <w:t>13-18 Yr</w:t>
            </w:r>
          </w:p>
        </w:tc>
        <w:tc>
          <w:tcPr>
            <w:tcW w:w="1190" w:type="pct"/>
            <w:tcBorders>
              <w:top w:val="single" w:color="C9C9C9" w:sz="6" w:space="0"/>
              <w:left w:val="single" w:color="C9C9C9" w:sz="6" w:space="0"/>
              <w:bottom w:val="single" w:color="C9C9C9" w:sz="6" w:space="0"/>
              <w:right w:val="single" w:color="C9C9C9" w:sz="6" w:space="0"/>
            </w:tcBorders>
            <w:vAlign w:val="center"/>
          </w:tcPr>
          <w:p w14:paraId="787B5B66">
            <w:pPr>
              <w:spacing w:line="360" w:lineRule="auto"/>
              <w:rPr>
                <w:rFonts w:eastAsia="等线"/>
                <w:szCs w:val="20"/>
                <w:lang w:val="en-US" w:eastAsia="zh-CN"/>
              </w:rPr>
            </w:pPr>
            <w:r>
              <w:rPr>
                <w:rFonts w:eastAsia="等线"/>
                <w:szCs w:val="20"/>
                <w:lang w:val="en-US" w:eastAsia="zh-CN"/>
              </w:rPr>
              <w:t>19-39 Yr</w:t>
            </w:r>
          </w:p>
        </w:tc>
        <w:tc>
          <w:tcPr>
            <w:tcW w:w="1153" w:type="pct"/>
            <w:tcBorders>
              <w:top w:val="single" w:color="C9C9C9" w:sz="6" w:space="0"/>
              <w:left w:val="single" w:color="C9C9C9" w:sz="6" w:space="0"/>
              <w:bottom w:val="single" w:color="C9C9C9" w:sz="6" w:space="0"/>
              <w:right w:val="single" w:color="C9C9C9" w:sz="6" w:space="0"/>
            </w:tcBorders>
            <w:vAlign w:val="center"/>
          </w:tcPr>
          <w:p w14:paraId="2F6E62C0">
            <w:pPr>
              <w:spacing w:line="360" w:lineRule="auto"/>
              <w:rPr>
                <w:rFonts w:eastAsia="等线"/>
                <w:szCs w:val="20"/>
                <w:lang w:val="en-US" w:eastAsia="zh-CN"/>
              </w:rPr>
            </w:pPr>
            <w:r>
              <w:rPr>
                <w:rFonts w:eastAsia="等线"/>
                <w:szCs w:val="20"/>
                <w:lang w:val="en-US" w:eastAsia="zh-CN"/>
              </w:rPr>
              <w:t>40-64 Yr</w:t>
            </w:r>
          </w:p>
        </w:tc>
        <w:tc>
          <w:tcPr>
            <w:tcW w:w="962" w:type="pct"/>
            <w:tcBorders>
              <w:top w:val="single" w:color="C9C9C9" w:sz="6" w:space="0"/>
              <w:left w:val="single" w:color="C9C9C9" w:sz="6" w:space="0"/>
              <w:bottom w:val="single" w:color="C9C9C9" w:sz="6" w:space="0"/>
              <w:right w:val="single" w:color="C9C9C9" w:sz="6" w:space="0"/>
            </w:tcBorders>
            <w:vAlign w:val="center"/>
          </w:tcPr>
          <w:p w14:paraId="38CF1B9E">
            <w:pPr>
              <w:spacing w:line="360" w:lineRule="auto"/>
              <w:rPr>
                <w:rFonts w:eastAsia="等线"/>
                <w:szCs w:val="20"/>
                <w:lang w:val="en-US" w:eastAsia="zh-CN"/>
              </w:rPr>
            </w:pPr>
            <w:r>
              <w:rPr>
                <w:rFonts w:eastAsia="等线"/>
                <w:szCs w:val="20"/>
                <w:lang w:val="en-US" w:eastAsia="zh-CN"/>
              </w:rPr>
              <w:t>65+ Yr</w:t>
            </w:r>
          </w:p>
        </w:tc>
      </w:tr>
      <w:tr w14:paraId="5013E6B2">
        <w:tblPrEx>
          <w:tblCellMar>
            <w:top w:w="15" w:type="dxa"/>
            <w:left w:w="15" w:type="dxa"/>
            <w:bottom w:w="15" w:type="dxa"/>
            <w:right w:w="15" w:type="dxa"/>
          </w:tblCellMar>
        </w:tblPrEx>
        <w:tc>
          <w:tcPr>
            <w:tcW w:w="572" w:type="pct"/>
            <w:tcBorders>
              <w:top w:val="single" w:color="C9C9C9" w:sz="6" w:space="0"/>
              <w:left w:val="single" w:color="C9C9C9" w:sz="6" w:space="0"/>
              <w:bottom w:val="single" w:color="C9C9C9" w:sz="6" w:space="0"/>
              <w:right w:val="single" w:color="C9C9C9" w:sz="6" w:space="0"/>
            </w:tcBorders>
            <w:vAlign w:val="center"/>
          </w:tcPr>
          <w:p w14:paraId="0AB0CB2C">
            <w:pPr>
              <w:spacing w:line="360" w:lineRule="auto"/>
              <w:rPr>
                <w:rFonts w:eastAsia="等线"/>
                <w:szCs w:val="20"/>
                <w:lang w:val="en-US" w:eastAsia="zh-CN"/>
              </w:rPr>
            </w:pPr>
            <w:r>
              <w:rPr>
                <w:rFonts w:eastAsia="等线"/>
                <w:szCs w:val="20"/>
                <w:lang w:val="en-US" w:eastAsia="zh-CN"/>
              </w:rPr>
              <w:t>Cancer screening</w:t>
            </w:r>
          </w:p>
        </w:tc>
        <w:tc>
          <w:tcPr>
            <w:tcW w:w="1123" w:type="pct"/>
            <w:tcBorders>
              <w:top w:val="single" w:color="C9C9C9" w:sz="6" w:space="0"/>
              <w:left w:val="single" w:color="C9C9C9" w:sz="6" w:space="0"/>
              <w:bottom w:val="single" w:color="C9C9C9" w:sz="6" w:space="0"/>
              <w:right w:val="single" w:color="C9C9C9" w:sz="6" w:space="0"/>
            </w:tcBorders>
            <w:vAlign w:val="center"/>
          </w:tcPr>
          <w:p w14:paraId="3B6F0285">
            <w:pPr>
              <w:spacing w:line="360" w:lineRule="auto"/>
              <w:rPr>
                <w:rFonts w:eastAsia="等线"/>
                <w:szCs w:val="20"/>
                <w:lang w:val="en-US" w:eastAsia="zh-CN"/>
              </w:rPr>
            </w:pPr>
            <w:r>
              <w:rPr>
                <w:rFonts w:eastAsia="等线"/>
                <w:szCs w:val="20"/>
                <w:lang w:val="en-US" w:eastAsia="zh-CN"/>
              </w:rPr>
              <w:t> </w:t>
            </w:r>
          </w:p>
        </w:tc>
        <w:tc>
          <w:tcPr>
            <w:tcW w:w="1190" w:type="pct"/>
            <w:tcBorders>
              <w:top w:val="single" w:color="C9C9C9" w:sz="6" w:space="0"/>
              <w:left w:val="single" w:color="C9C9C9" w:sz="6" w:space="0"/>
              <w:bottom w:val="single" w:color="C9C9C9" w:sz="6" w:space="0"/>
              <w:right w:val="single" w:color="C9C9C9" w:sz="6" w:space="0"/>
            </w:tcBorders>
            <w:vAlign w:val="center"/>
          </w:tcPr>
          <w:p w14:paraId="2CC07040">
            <w:pPr>
              <w:numPr>
                <w:ilvl w:val="0"/>
                <w:numId w:val="17"/>
              </w:numPr>
              <w:spacing w:line="360" w:lineRule="auto"/>
              <w:rPr>
                <w:rFonts w:eastAsia="等线"/>
                <w:szCs w:val="20"/>
                <w:lang w:val="en-US" w:eastAsia="zh-CN"/>
              </w:rPr>
            </w:pPr>
            <w:r>
              <w:rPr>
                <w:rFonts w:eastAsia="等线"/>
                <w:i/>
                <w:iCs/>
                <w:szCs w:val="20"/>
                <w:lang w:val="en-US" w:eastAsia="zh-CN"/>
              </w:rPr>
              <w:t>Age 21</w:t>
            </w:r>
            <w:r>
              <w:rPr>
                <w:rFonts w:eastAsia="等线"/>
                <w:szCs w:val="20"/>
                <w:lang w:val="en-US" w:eastAsia="zh-CN"/>
              </w:rPr>
              <w:t>, Pap smear q 3 yr</w:t>
            </w:r>
          </w:p>
          <w:p w14:paraId="6D9F091C">
            <w:pPr>
              <w:numPr>
                <w:ilvl w:val="0"/>
                <w:numId w:val="17"/>
              </w:numPr>
              <w:spacing w:line="360" w:lineRule="auto"/>
              <w:rPr>
                <w:rFonts w:eastAsia="等线"/>
                <w:szCs w:val="20"/>
                <w:lang w:val="en-US" w:eastAsia="zh-CN"/>
              </w:rPr>
            </w:pPr>
            <w:r>
              <w:rPr>
                <w:rFonts w:eastAsia="等线"/>
                <w:i/>
                <w:iCs/>
                <w:szCs w:val="20"/>
                <w:lang w:val="en-US" w:eastAsia="zh-CN"/>
              </w:rPr>
              <w:t>Age 30</w:t>
            </w:r>
            <w:r>
              <w:rPr>
                <w:rFonts w:eastAsia="等线"/>
                <w:szCs w:val="20"/>
                <w:lang w:val="en-US" w:eastAsia="zh-CN"/>
              </w:rPr>
              <w:t>, either Pap alone q 3 yr or cotesting (preferable) q 5 yr</w:t>
            </w:r>
          </w:p>
        </w:tc>
        <w:tc>
          <w:tcPr>
            <w:tcW w:w="1153" w:type="pct"/>
            <w:tcBorders>
              <w:top w:val="single" w:color="C9C9C9" w:sz="6" w:space="0"/>
              <w:left w:val="single" w:color="C9C9C9" w:sz="6" w:space="0"/>
              <w:bottom w:val="single" w:color="C9C9C9" w:sz="6" w:space="0"/>
              <w:right w:val="single" w:color="C9C9C9" w:sz="6" w:space="0"/>
            </w:tcBorders>
            <w:vAlign w:val="center"/>
          </w:tcPr>
          <w:p w14:paraId="092D6A6A">
            <w:pPr>
              <w:numPr>
                <w:ilvl w:val="0"/>
                <w:numId w:val="18"/>
              </w:numPr>
              <w:spacing w:line="360" w:lineRule="auto"/>
              <w:rPr>
                <w:rFonts w:eastAsia="等线"/>
                <w:szCs w:val="20"/>
                <w:lang w:val="en-US" w:eastAsia="zh-CN"/>
              </w:rPr>
            </w:pPr>
            <w:r>
              <w:rPr>
                <w:rFonts w:eastAsia="等线"/>
                <w:szCs w:val="20"/>
                <w:lang w:val="en-US" w:eastAsia="zh-CN"/>
              </w:rPr>
              <w:t>Pap smear cotest q 5 yr (preferable) or Pap alone q 3 yr</w:t>
            </w:r>
          </w:p>
          <w:p w14:paraId="2E582612">
            <w:pPr>
              <w:numPr>
                <w:ilvl w:val="0"/>
                <w:numId w:val="18"/>
              </w:numPr>
              <w:spacing w:line="360" w:lineRule="auto"/>
              <w:rPr>
                <w:rFonts w:eastAsia="等线"/>
                <w:szCs w:val="20"/>
                <w:lang w:val="en-US" w:eastAsia="zh-CN"/>
              </w:rPr>
            </w:pPr>
            <w:r>
              <w:rPr>
                <w:rFonts w:eastAsia="等线"/>
                <w:szCs w:val="20"/>
                <w:lang w:val="en-US" w:eastAsia="zh-CN"/>
              </w:rPr>
              <w:t>Stool for occult blood, </w:t>
            </w:r>
            <w:r>
              <w:rPr>
                <w:rFonts w:eastAsia="等线"/>
                <w:i/>
                <w:iCs/>
                <w:szCs w:val="20"/>
                <w:lang w:val="en-US" w:eastAsia="zh-CN"/>
              </w:rPr>
              <w:t>age 50</w:t>
            </w:r>
            <w:r>
              <w:rPr>
                <w:rFonts w:eastAsia="等线"/>
                <w:szCs w:val="20"/>
                <w:lang w:val="en-US" w:eastAsia="zh-CN"/>
              </w:rPr>
              <w:t>, annual</w:t>
            </w:r>
          </w:p>
          <w:p w14:paraId="06B957E9">
            <w:pPr>
              <w:numPr>
                <w:ilvl w:val="0"/>
                <w:numId w:val="18"/>
              </w:numPr>
              <w:spacing w:line="360" w:lineRule="auto"/>
              <w:rPr>
                <w:rFonts w:eastAsia="等线"/>
                <w:szCs w:val="20"/>
                <w:lang w:val="en-US" w:eastAsia="zh-CN"/>
              </w:rPr>
            </w:pPr>
            <w:r>
              <w:rPr>
                <w:rFonts w:eastAsia="等线"/>
                <w:szCs w:val="20"/>
                <w:lang w:val="en-US" w:eastAsia="zh-CN"/>
              </w:rPr>
              <w:t>Colonoscopy, </w:t>
            </w:r>
            <w:r>
              <w:rPr>
                <w:rFonts w:eastAsia="等线"/>
                <w:i/>
                <w:iCs/>
                <w:szCs w:val="20"/>
                <w:lang w:val="en-US" w:eastAsia="zh-CN"/>
              </w:rPr>
              <w:t>age</w:t>
            </w:r>
            <w:r>
              <w:rPr>
                <w:rFonts w:eastAsia="等线"/>
                <w:szCs w:val="20"/>
                <w:lang w:val="en-US" w:eastAsia="zh-CN"/>
              </w:rPr>
              <w:t> </w:t>
            </w:r>
            <w:r>
              <w:rPr>
                <w:rFonts w:eastAsia="等线"/>
                <w:i/>
                <w:iCs/>
                <w:szCs w:val="20"/>
                <w:lang w:val="en-US" w:eastAsia="zh-CN"/>
              </w:rPr>
              <w:t>50</w:t>
            </w:r>
            <w:r>
              <w:rPr>
                <w:rFonts w:eastAsia="等线"/>
                <w:szCs w:val="20"/>
                <w:lang w:val="en-US" w:eastAsia="zh-CN"/>
              </w:rPr>
              <w:t>, q 10 yr</w:t>
            </w:r>
          </w:p>
          <w:p w14:paraId="0F6E312E">
            <w:pPr>
              <w:numPr>
                <w:ilvl w:val="0"/>
                <w:numId w:val="18"/>
              </w:numPr>
              <w:spacing w:line="360" w:lineRule="auto"/>
              <w:rPr>
                <w:rFonts w:eastAsia="等线"/>
                <w:szCs w:val="20"/>
                <w:lang w:val="en-US" w:eastAsia="zh-CN"/>
              </w:rPr>
            </w:pPr>
            <w:r>
              <w:rPr>
                <w:rFonts w:eastAsia="等线"/>
                <w:szCs w:val="20"/>
                <w:lang w:val="en-US" w:eastAsia="zh-CN"/>
              </w:rPr>
              <w:t>Mammography, </w:t>
            </w:r>
            <w:r>
              <w:rPr>
                <w:rFonts w:eastAsia="等线"/>
                <w:i/>
                <w:iCs/>
                <w:szCs w:val="20"/>
                <w:lang w:val="en-US" w:eastAsia="zh-CN"/>
              </w:rPr>
              <w:t>ages 40-50</w:t>
            </w:r>
            <w:r>
              <w:rPr>
                <w:rFonts w:eastAsia="等线"/>
                <w:szCs w:val="20"/>
                <w:lang w:val="en-US" w:eastAsia="zh-CN"/>
              </w:rPr>
              <w:t>, q year</w:t>
            </w:r>
            <w:r>
              <w:rPr>
                <w:rFonts w:eastAsia="等线"/>
                <w:szCs w:val="20"/>
                <w:vertAlign w:val="superscript"/>
                <w:lang w:val="en-US" w:eastAsia="zh-CN"/>
              </w:rPr>
              <w:t>a</w:t>
            </w:r>
          </w:p>
        </w:tc>
        <w:tc>
          <w:tcPr>
            <w:tcW w:w="962" w:type="pct"/>
            <w:tcBorders>
              <w:top w:val="single" w:color="C9C9C9" w:sz="6" w:space="0"/>
              <w:left w:val="single" w:color="C9C9C9" w:sz="6" w:space="0"/>
              <w:bottom w:val="single" w:color="C9C9C9" w:sz="6" w:space="0"/>
              <w:right w:val="single" w:color="C9C9C9" w:sz="6" w:space="0"/>
            </w:tcBorders>
            <w:vAlign w:val="center"/>
          </w:tcPr>
          <w:p w14:paraId="116179A5">
            <w:pPr>
              <w:numPr>
                <w:ilvl w:val="0"/>
                <w:numId w:val="19"/>
              </w:numPr>
              <w:spacing w:line="360" w:lineRule="auto"/>
              <w:rPr>
                <w:rFonts w:eastAsia="等线"/>
                <w:szCs w:val="20"/>
                <w:lang w:val="en-US" w:eastAsia="zh-CN"/>
              </w:rPr>
            </w:pPr>
            <w:r>
              <w:rPr>
                <w:rFonts w:eastAsia="等线"/>
                <w:szCs w:val="20"/>
                <w:lang w:val="en-US" w:eastAsia="zh-CN"/>
              </w:rPr>
              <w:t>Pap smears not needed if hx negative</w:t>
            </w:r>
          </w:p>
          <w:p w14:paraId="638470CD">
            <w:pPr>
              <w:numPr>
                <w:ilvl w:val="0"/>
                <w:numId w:val="19"/>
              </w:numPr>
              <w:spacing w:line="360" w:lineRule="auto"/>
              <w:rPr>
                <w:rFonts w:eastAsia="等线"/>
                <w:szCs w:val="20"/>
                <w:lang w:val="en-US" w:eastAsia="zh-CN"/>
              </w:rPr>
            </w:pPr>
            <w:r>
              <w:rPr>
                <w:rFonts w:eastAsia="等线"/>
                <w:szCs w:val="20"/>
                <w:lang w:val="en-US" w:eastAsia="zh-CN"/>
              </w:rPr>
              <w:t>Stool for occult blood, annual</w:t>
            </w:r>
          </w:p>
          <w:p w14:paraId="6AE85BB6">
            <w:pPr>
              <w:numPr>
                <w:ilvl w:val="0"/>
                <w:numId w:val="19"/>
              </w:numPr>
              <w:spacing w:line="360" w:lineRule="auto"/>
              <w:rPr>
                <w:rFonts w:eastAsia="等线"/>
                <w:szCs w:val="20"/>
                <w:lang w:val="en-US" w:eastAsia="zh-CN"/>
              </w:rPr>
            </w:pPr>
            <w:r>
              <w:rPr>
                <w:rFonts w:eastAsia="等线"/>
                <w:szCs w:val="20"/>
                <w:lang w:val="en-US" w:eastAsia="zh-CN"/>
              </w:rPr>
              <w:t>Colonoscopy q 10 yr</w:t>
            </w:r>
            <w:r>
              <w:rPr>
                <w:rFonts w:eastAsia="等线"/>
                <w:szCs w:val="20"/>
                <w:vertAlign w:val="superscript"/>
                <w:lang w:val="en-US" w:eastAsia="zh-CN"/>
              </w:rPr>
              <w:t>c</w:t>
            </w:r>
          </w:p>
          <w:p w14:paraId="6F133CE4">
            <w:pPr>
              <w:numPr>
                <w:ilvl w:val="0"/>
                <w:numId w:val="19"/>
              </w:numPr>
              <w:spacing w:line="360" w:lineRule="auto"/>
              <w:rPr>
                <w:rFonts w:eastAsia="等线"/>
                <w:szCs w:val="20"/>
                <w:lang w:val="en-US" w:eastAsia="zh-CN"/>
              </w:rPr>
            </w:pPr>
            <w:r>
              <w:rPr>
                <w:rFonts w:eastAsia="等线"/>
                <w:szCs w:val="20"/>
                <w:lang w:val="en-US" w:eastAsia="zh-CN"/>
              </w:rPr>
              <w:t>Mammography</w:t>
            </w:r>
            <w:r>
              <w:rPr>
                <w:rFonts w:eastAsia="等线"/>
                <w:szCs w:val="20"/>
                <w:vertAlign w:val="superscript"/>
                <w:lang w:val="en-US" w:eastAsia="zh-CN"/>
              </w:rPr>
              <w:t>a</w:t>
            </w:r>
          </w:p>
        </w:tc>
      </w:tr>
      <w:tr w14:paraId="721DF195">
        <w:tblPrEx>
          <w:tblCellMar>
            <w:top w:w="15" w:type="dxa"/>
            <w:left w:w="15" w:type="dxa"/>
            <w:bottom w:w="15" w:type="dxa"/>
            <w:right w:w="15" w:type="dxa"/>
          </w:tblCellMar>
        </w:tblPrEx>
        <w:tc>
          <w:tcPr>
            <w:tcW w:w="572" w:type="pct"/>
            <w:tcBorders>
              <w:top w:val="single" w:color="C9C9C9" w:sz="6" w:space="0"/>
              <w:left w:val="single" w:color="C9C9C9" w:sz="6" w:space="0"/>
              <w:bottom w:val="single" w:color="C9C9C9" w:sz="6" w:space="0"/>
              <w:right w:val="single" w:color="C9C9C9" w:sz="6" w:space="0"/>
            </w:tcBorders>
            <w:vAlign w:val="center"/>
          </w:tcPr>
          <w:p w14:paraId="26861BD9">
            <w:pPr>
              <w:spacing w:line="360" w:lineRule="auto"/>
              <w:rPr>
                <w:rFonts w:eastAsia="等线"/>
                <w:szCs w:val="20"/>
                <w:lang w:val="en-US" w:eastAsia="zh-CN"/>
              </w:rPr>
            </w:pPr>
            <w:r>
              <w:rPr>
                <w:rFonts w:eastAsia="等线"/>
                <w:szCs w:val="20"/>
                <w:lang w:val="en-US" w:eastAsia="zh-CN"/>
              </w:rPr>
              <w:t>Immunizations</w:t>
            </w:r>
          </w:p>
        </w:tc>
        <w:tc>
          <w:tcPr>
            <w:tcW w:w="1123" w:type="pct"/>
            <w:tcBorders>
              <w:top w:val="single" w:color="C9C9C9" w:sz="6" w:space="0"/>
              <w:left w:val="single" w:color="C9C9C9" w:sz="6" w:space="0"/>
              <w:bottom w:val="single" w:color="C9C9C9" w:sz="6" w:space="0"/>
              <w:right w:val="single" w:color="C9C9C9" w:sz="6" w:space="0"/>
            </w:tcBorders>
            <w:vAlign w:val="center"/>
          </w:tcPr>
          <w:p w14:paraId="01E71DDE">
            <w:pPr>
              <w:numPr>
                <w:ilvl w:val="0"/>
                <w:numId w:val="20"/>
              </w:numPr>
              <w:spacing w:line="360" w:lineRule="auto"/>
              <w:rPr>
                <w:rFonts w:eastAsia="等线"/>
                <w:szCs w:val="20"/>
                <w:lang w:val="en-US" w:eastAsia="zh-CN"/>
              </w:rPr>
            </w:pPr>
            <w:r>
              <w:rPr>
                <w:rFonts w:eastAsia="等线"/>
                <w:szCs w:val="20"/>
                <w:lang w:val="en-US" w:eastAsia="zh-CN"/>
              </w:rPr>
              <w:t>Tetanus + diphtheria booster unless in high risk job or w/ exposure; then q 5 yr between </w:t>
            </w:r>
            <w:r>
              <w:rPr>
                <w:rFonts w:eastAsia="等线"/>
                <w:i/>
                <w:iCs/>
                <w:szCs w:val="20"/>
                <w:lang w:val="en-US" w:eastAsia="zh-CN"/>
              </w:rPr>
              <w:t>ages</w:t>
            </w:r>
            <w:r>
              <w:rPr>
                <w:rFonts w:eastAsia="等线"/>
                <w:szCs w:val="20"/>
                <w:lang w:val="en-US" w:eastAsia="zh-CN"/>
              </w:rPr>
              <w:t> </w:t>
            </w:r>
            <w:r>
              <w:rPr>
                <w:rFonts w:eastAsia="等线"/>
                <w:i/>
                <w:iCs/>
                <w:szCs w:val="20"/>
                <w:lang w:val="en-US" w:eastAsia="zh-CN"/>
              </w:rPr>
              <w:t>11 and 18 yr</w:t>
            </w:r>
          </w:p>
          <w:p w14:paraId="1A716C72">
            <w:pPr>
              <w:numPr>
                <w:ilvl w:val="0"/>
                <w:numId w:val="20"/>
              </w:numPr>
              <w:spacing w:line="360" w:lineRule="auto"/>
              <w:rPr>
                <w:rFonts w:eastAsia="等线"/>
                <w:szCs w:val="20"/>
                <w:lang w:val="en-US" w:eastAsia="zh-CN"/>
              </w:rPr>
            </w:pPr>
            <w:r>
              <w:rPr>
                <w:rFonts w:eastAsia="等线"/>
                <w:szCs w:val="20"/>
                <w:lang w:val="en-US" w:eastAsia="zh-CN"/>
              </w:rPr>
              <w:t>Hepatitis A</w:t>
            </w:r>
          </w:p>
          <w:p w14:paraId="0C5A1DFF">
            <w:pPr>
              <w:numPr>
                <w:ilvl w:val="0"/>
                <w:numId w:val="20"/>
              </w:numPr>
              <w:spacing w:line="360" w:lineRule="auto"/>
              <w:rPr>
                <w:rFonts w:eastAsia="等线"/>
                <w:szCs w:val="20"/>
                <w:lang w:val="en-US" w:eastAsia="zh-CN"/>
              </w:rPr>
            </w:pPr>
            <w:r>
              <w:rPr>
                <w:rFonts w:eastAsia="等线"/>
                <w:szCs w:val="20"/>
                <w:lang w:val="en-US" w:eastAsia="zh-CN"/>
              </w:rPr>
              <w:t>Hepatitis B</w:t>
            </w:r>
          </w:p>
          <w:p w14:paraId="783D7C2D">
            <w:pPr>
              <w:numPr>
                <w:ilvl w:val="0"/>
                <w:numId w:val="20"/>
              </w:numPr>
              <w:spacing w:line="360" w:lineRule="auto"/>
              <w:rPr>
                <w:rFonts w:eastAsia="等线"/>
                <w:szCs w:val="20"/>
                <w:lang w:val="en-US" w:eastAsia="zh-CN"/>
              </w:rPr>
            </w:pPr>
            <w:r>
              <w:rPr>
                <w:rFonts w:eastAsia="等线"/>
                <w:szCs w:val="20"/>
                <w:lang w:val="en-US" w:eastAsia="zh-CN"/>
              </w:rPr>
              <w:t>Human papillomavirus, </w:t>
            </w:r>
            <w:r>
              <w:rPr>
                <w:rFonts w:eastAsia="等线"/>
                <w:i/>
                <w:iCs/>
                <w:szCs w:val="20"/>
                <w:lang w:val="en-US" w:eastAsia="zh-CN"/>
              </w:rPr>
              <w:t>ages 9-26</w:t>
            </w:r>
          </w:p>
          <w:p w14:paraId="69D1C18E">
            <w:pPr>
              <w:numPr>
                <w:ilvl w:val="0"/>
                <w:numId w:val="20"/>
              </w:numPr>
              <w:spacing w:line="360" w:lineRule="auto"/>
              <w:rPr>
                <w:rFonts w:eastAsia="等线"/>
                <w:szCs w:val="20"/>
                <w:lang w:val="en-US" w:eastAsia="zh-CN"/>
              </w:rPr>
            </w:pPr>
            <w:r>
              <w:rPr>
                <w:rFonts w:eastAsia="等线"/>
                <w:szCs w:val="20"/>
                <w:lang w:val="en-US" w:eastAsia="zh-CN"/>
              </w:rPr>
              <w:t>Meningococcus booster, </w:t>
            </w:r>
            <w:r>
              <w:rPr>
                <w:rFonts w:eastAsia="等线"/>
                <w:i/>
                <w:iCs/>
                <w:szCs w:val="20"/>
                <w:lang w:val="en-US" w:eastAsia="zh-CN"/>
              </w:rPr>
              <w:t>age 16</w:t>
            </w:r>
          </w:p>
          <w:p w14:paraId="2EFB647D">
            <w:pPr>
              <w:numPr>
                <w:ilvl w:val="0"/>
                <w:numId w:val="20"/>
              </w:numPr>
              <w:spacing w:line="360" w:lineRule="auto"/>
              <w:rPr>
                <w:rFonts w:eastAsia="等线"/>
                <w:szCs w:val="20"/>
                <w:lang w:val="en-US" w:eastAsia="zh-CN"/>
              </w:rPr>
            </w:pPr>
            <w:r>
              <w:rPr>
                <w:rFonts w:eastAsia="等线"/>
                <w:szCs w:val="20"/>
                <w:lang w:val="en-US" w:eastAsia="zh-CN"/>
              </w:rPr>
              <w:t>Influenza, annual</w:t>
            </w:r>
          </w:p>
        </w:tc>
        <w:tc>
          <w:tcPr>
            <w:tcW w:w="1190" w:type="pct"/>
            <w:tcBorders>
              <w:top w:val="single" w:color="C9C9C9" w:sz="6" w:space="0"/>
              <w:left w:val="single" w:color="C9C9C9" w:sz="6" w:space="0"/>
              <w:bottom w:val="single" w:color="C9C9C9" w:sz="6" w:space="0"/>
              <w:right w:val="single" w:color="C9C9C9" w:sz="6" w:space="0"/>
            </w:tcBorders>
            <w:vAlign w:val="center"/>
          </w:tcPr>
          <w:p w14:paraId="7D4AEB92">
            <w:pPr>
              <w:numPr>
                <w:ilvl w:val="0"/>
                <w:numId w:val="21"/>
              </w:numPr>
              <w:spacing w:line="360" w:lineRule="auto"/>
              <w:rPr>
                <w:rFonts w:eastAsia="等线"/>
                <w:szCs w:val="20"/>
                <w:lang w:val="en-US" w:eastAsia="zh-CN"/>
              </w:rPr>
            </w:pPr>
            <w:r>
              <w:rPr>
                <w:rFonts w:eastAsia="等线"/>
                <w:szCs w:val="20"/>
                <w:lang w:val="en-US" w:eastAsia="zh-CN"/>
              </w:rPr>
              <w:t>Tetanus + diphtheria q 10 yr (substitute TdaP once)</w:t>
            </w:r>
          </w:p>
          <w:p w14:paraId="3E3C29EA">
            <w:pPr>
              <w:numPr>
                <w:ilvl w:val="0"/>
                <w:numId w:val="21"/>
              </w:numPr>
              <w:spacing w:line="360" w:lineRule="auto"/>
              <w:rPr>
                <w:rFonts w:eastAsia="等线"/>
                <w:szCs w:val="20"/>
                <w:lang w:val="en-US" w:eastAsia="zh-CN"/>
              </w:rPr>
            </w:pPr>
            <w:r>
              <w:rPr>
                <w:rFonts w:eastAsia="等线"/>
                <w:szCs w:val="20"/>
                <w:lang w:val="en-US" w:eastAsia="zh-CN"/>
              </w:rPr>
              <w:t>Human papillomavirus, </w:t>
            </w:r>
            <w:r>
              <w:rPr>
                <w:rFonts w:eastAsia="等线"/>
                <w:i/>
                <w:iCs/>
                <w:szCs w:val="20"/>
                <w:lang w:val="en-US" w:eastAsia="zh-CN"/>
              </w:rPr>
              <w:t>ages 9-26</w:t>
            </w:r>
          </w:p>
          <w:p w14:paraId="2520C2D0">
            <w:pPr>
              <w:numPr>
                <w:ilvl w:val="0"/>
                <w:numId w:val="21"/>
              </w:numPr>
              <w:spacing w:line="360" w:lineRule="auto"/>
              <w:rPr>
                <w:rFonts w:eastAsia="等线"/>
                <w:szCs w:val="20"/>
                <w:lang w:val="en-US" w:eastAsia="zh-CN"/>
              </w:rPr>
            </w:pPr>
            <w:r>
              <w:rPr>
                <w:rFonts w:eastAsia="等线"/>
                <w:szCs w:val="20"/>
                <w:lang w:val="en-US" w:eastAsia="zh-CN"/>
              </w:rPr>
              <w:t>Meningococcus</w:t>
            </w:r>
            <w:r>
              <w:rPr>
                <w:rFonts w:eastAsia="等线"/>
                <w:szCs w:val="20"/>
                <w:vertAlign w:val="superscript"/>
                <w:lang w:val="en-US" w:eastAsia="zh-CN"/>
              </w:rPr>
              <w:t>b</w:t>
            </w:r>
            <w:r>
              <w:rPr>
                <w:rFonts w:eastAsia="等线"/>
                <w:szCs w:val="20"/>
                <w:lang w:val="en-US" w:eastAsia="zh-CN"/>
              </w:rPr>
              <w:t>, </w:t>
            </w:r>
            <w:r>
              <w:rPr>
                <w:rFonts w:eastAsia="等线"/>
                <w:i/>
                <w:iCs/>
                <w:szCs w:val="20"/>
                <w:lang w:val="en-US" w:eastAsia="zh-CN"/>
              </w:rPr>
              <w:t>ages 19-21</w:t>
            </w:r>
          </w:p>
          <w:p w14:paraId="74DE6001">
            <w:pPr>
              <w:numPr>
                <w:ilvl w:val="0"/>
                <w:numId w:val="21"/>
              </w:numPr>
              <w:spacing w:line="360" w:lineRule="auto"/>
              <w:rPr>
                <w:rFonts w:eastAsia="等线"/>
                <w:szCs w:val="20"/>
                <w:lang w:val="en-US" w:eastAsia="zh-CN"/>
              </w:rPr>
            </w:pPr>
            <w:r>
              <w:rPr>
                <w:rFonts w:eastAsia="等线"/>
                <w:szCs w:val="20"/>
                <w:lang w:val="en-US" w:eastAsia="zh-CN"/>
              </w:rPr>
              <w:t>Influenza, annual</w:t>
            </w:r>
          </w:p>
        </w:tc>
        <w:tc>
          <w:tcPr>
            <w:tcW w:w="1153" w:type="pct"/>
            <w:tcBorders>
              <w:top w:val="single" w:color="C9C9C9" w:sz="6" w:space="0"/>
              <w:left w:val="single" w:color="C9C9C9" w:sz="6" w:space="0"/>
              <w:bottom w:val="single" w:color="C9C9C9" w:sz="6" w:space="0"/>
              <w:right w:val="single" w:color="C9C9C9" w:sz="6" w:space="0"/>
            </w:tcBorders>
            <w:vAlign w:val="center"/>
          </w:tcPr>
          <w:p w14:paraId="1215FA48">
            <w:pPr>
              <w:numPr>
                <w:ilvl w:val="0"/>
                <w:numId w:val="22"/>
              </w:numPr>
              <w:spacing w:line="360" w:lineRule="auto"/>
              <w:rPr>
                <w:rFonts w:eastAsia="等线"/>
                <w:szCs w:val="20"/>
                <w:lang w:val="en-US" w:eastAsia="zh-CN"/>
              </w:rPr>
            </w:pPr>
            <w:r>
              <w:rPr>
                <w:rFonts w:eastAsia="等线"/>
                <w:szCs w:val="20"/>
                <w:lang w:val="en-US" w:eastAsia="zh-CN"/>
              </w:rPr>
              <w:t>Tetanus + diphtheria q 10 yr</w:t>
            </w:r>
          </w:p>
          <w:p w14:paraId="702F4FA1">
            <w:pPr>
              <w:numPr>
                <w:ilvl w:val="0"/>
                <w:numId w:val="22"/>
              </w:numPr>
              <w:spacing w:line="360" w:lineRule="auto"/>
              <w:rPr>
                <w:rFonts w:eastAsia="等线"/>
                <w:szCs w:val="20"/>
                <w:lang w:val="en-US" w:eastAsia="zh-CN"/>
              </w:rPr>
            </w:pPr>
            <w:r>
              <w:rPr>
                <w:rFonts w:eastAsia="等线"/>
                <w:szCs w:val="20"/>
                <w:lang w:val="en-US" w:eastAsia="zh-CN"/>
              </w:rPr>
              <w:t>Influenza, </w:t>
            </w:r>
            <w:r>
              <w:rPr>
                <w:rFonts w:eastAsia="等线"/>
                <w:i/>
                <w:iCs/>
                <w:szCs w:val="20"/>
                <w:lang w:val="en-US" w:eastAsia="zh-CN"/>
              </w:rPr>
              <w:t>age 50</w:t>
            </w:r>
            <w:r>
              <w:rPr>
                <w:rFonts w:eastAsia="等线"/>
                <w:szCs w:val="20"/>
                <w:lang w:val="en-US" w:eastAsia="zh-CN"/>
              </w:rPr>
              <w:t>, annual</w:t>
            </w:r>
          </w:p>
          <w:p w14:paraId="620ECB86">
            <w:pPr>
              <w:numPr>
                <w:ilvl w:val="0"/>
                <w:numId w:val="22"/>
              </w:numPr>
              <w:spacing w:line="360" w:lineRule="auto"/>
              <w:rPr>
                <w:rFonts w:eastAsia="等线"/>
                <w:szCs w:val="20"/>
                <w:lang w:val="en-US" w:eastAsia="zh-CN"/>
              </w:rPr>
            </w:pPr>
            <w:r>
              <w:rPr>
                <w:rFonts w:eastAsia="等线"/>
                <w:szCs w:val="20"/>
                <w:lang w:val="en-US" w:eastAsia="zh-CN"/>
              </w:rPr>
              <w:t>Herpes zoster, </w:t>
            </w:r>
            <w:r>
              <w:rPr>
                <w:rFonts w:eastAsia="等线"/>
                <w:i/>
                <w:iCs/>
                <w:szCs w:val="20"/>
                <w:lang w:val="en-US" w:eastAsia="zh-CN"/>
              </w:rPr>
              <w:t>age 50</w:t>
            </w:r>
          </w:p>
        </w:tc>
        <w:tc>
          <w:tcPr>
            <w:tcW w:w="962" w:type="pct"/>
            <w:tcBorders>
              <w:top w:val="single" w:color="C9C9C9" w:sz="6" w:space="0"/>
              <w:left w:val="single" w:color="C9C9C9" w:sz="6" w:space="0"/>
              <w:bottom w:val="single" w:color="C9C9C9" w:sz="6" w:space="0"/>
              <w:right w:val="single" w:color="C9C9C9" w:sz="6" w:space="0"/>
            </w:tcBorders>
            <w:vAlign w:val="center"/>
          </w:tcPr>
          <w:p w14:paraId="6CA2AD37">
            <w:pPr>
              <w:numPr>
                <w:ilvl w:val="0"/>
                <w:numId w:val="23"/>
              </w:numPr>
              <w:spacing w:line="360" w:lineRule="auto"/>
              <w:rPr>
                <w:rFonts w:eastAsia="等线"/>
                <w:szCs w:val="20"/>
                <w:lang w:val="en-US" w:eastAsia="zh-CN"/>
              </w:rPr>
            </w:pPr>
            <w:r>
              <w:rPr>
                <w:rFonts w:eastAsia="等线"/>
                <w:szCs w:val="20"/>
                <w:lang w:val="en-US" w:eastAsia="zh-CN"/>
              </w:rPr>
              <w:t>Tetanus + diphtheria q 10 yr</w:t>
            </w:r>
          </w:p>
          <w:p w14:paraId="37DC1982">
            <w:pPr>
              <w:numPr>
                <w:ilvl w:val="0"/>
                <w:numId w:val="23"/>
              </w:numPr>
              <w:spacing w:line="360" w:lineRule="auto"/>
              <w:rPr>
                <w:rFonts w:eastAsia="等线"/>
                <w:szCs w:val="20"/>
                <w:lang w:val="en-US" w:eastAsia="zh-CN"/>
              </w:rPr>
            </w:pPr>
            <w:r>
              <w:rPr>
                <w:rFonts w:eastAsia="等线"/>
                <w:szCs w:val="20"/>
                <w:lang w:val="en-US" w:eastAsia="zh-CN"/>
              </w:rPr>
              <w:t>Pneumococcal 23 valent vaccine</w:t>
            </w:r>
          </w:p>
          <w:p w14:paraId="11CB53E4">
            <w:pPr>
              <w:numPr>
                <w:ilvl w:val="0"/>
                <w:numId w:val="23"/>
              </w:numPr>
              <w:spacing w:line="360" w:lineRule="auto"/>
              <w:rPr>
                <w:rFonts w:eastAsia="等线"/>
                <w:szCs w:val="20"/>
                <w:lang w:val="en-US" w:eastAsia="zh-CN"/>
              </w:rPr>
            </w:pPr>
            <w:r>
              <w:rPr>
                <w:rFonts w:eastAsia="等线"/>
                <w:szCs w:val="20"/>
                <w:lang w:val="en-US" w:eastAsia="zh-CN"/>
              </w:rPr>
              <w:t>Influenza, annual</w:t>
            </w:r>
          </w:p>
          <w:p w14:paraId="405E0621">
            <w:pPr>
              <w:numPr>
                <w:ilvl w:val="0"/>
                <w:numId w:val="23"/>
              </w:numPr>
              <w:spacing w:line="360" w:lineRule="auto"/>
              <w:rPr>
                <w:rFonts w:eastAsia="等线"/>
                <w:szCs w:val="20"/>
                <w:lang w:val="en-US" w:eastAsia="zh-CN"/>
              </w:rPr>
            </w:pPr>
            <w:r>
              <w:rPr>
                <w:rFonts w:eastAsia="等线"/>
                <w:szCs w:val="20"/>
                <w:lang w:val="en-US" w:eastAsia="zh-CN"/>
              </w:rPr>
              <w:t>Herpes zoster</w:t>
            </w:r>
          </w:p>
        </w:tc>
      </w:tr>
      <w:tr w14:paraId="4E9220D1">
        <w:tblPrEx>
          <w:tblCellMar>
            <w:top w:w="15" w:type="dxa"/>
            <w:left w:w="15" w:type="dxa"/>
            <w:bottom w:w="15" w:type="dxa"/>
            <w:right w:w="15" w:type="dxa"/>
          </w:tblCellMar>
        </w:tblPrEx>
        <w:tc>
          <w:tcPr>
            <w:tcW w:w="572" w:type="pct"/>
            <w:tcBorders>
              <w:top w:val="single" w:color="C9C9C9" w:sz="6" w:space="0"/>
              <w:left w:val="single" w:color="C9C9C9" w:sz="6" w:space="0"/>
              <w:bottom w:val="single" w:color="C9C9C9" w:sz="6" w:space="0"/>
              <w:right w:val="single" w:color="C9C9C9" w:sz="6" w:space="0"/>
            </w:tcBorders>
            <w:vAlign w:val="center"/>
          </w:tcPr>
          <w:p w14:paraId="01C9D9EB">
            <w:pPr>
              <w:spacing w:line="360" w:lineRule="auto"/>
              <w:rPr>
                <w:rFonts w:eastAsia="等线"/>
                <w:szCs w:val="20"/>
                <w:lang w:val="en-US" w:eastAsia="zh-CN"/>
              </w:rPr>
            </w:pPr>
            <w:r>
              <w:rPr>
                <w:rFonts w:eastAsia="等线"/>
                <w:szCs w:val="20"/>
                <w:lang w:val="en-US" w:eastAsia="zh-CN"/>
              </w:rPr>
              <w:t>Other diseases</w:t>
            </w:r>
          </w:p>
        </w:tc>
        <w:tc>
          <w:tcPr>
            <w:tcW w:w="1123" w:type="pct"/>
            <w:tcBorders>
              <w:top w:val="single" w:color="C9C9C9" w:sz="6" w:space="0"/>
              <w:left w:val="single" w:color="C9C9C9" w:sz="6" w:space="0"/>
              <w:bottom w:val="single" w:color="C9C9C9" w:sz="6" w:space="0"/>
              <w:right w:val="single" w:color="C9C9C9" w:sz="6" w:space="0"/>
            </w:tcBorders>
            <w:vAlign w:val="center"/>
          </w:tcPr>
          <w:p w14:paraId="37B9B85B">
            <w:pPr>
              <w:numPr>
                <w:ilvl w:val="0"/>
                <w:numId w:val="24"/>
              </w:numPr>
              <w:spacing w:line="360" w:lineRule="auto"/>
              <w:rPr>
                <w:rFonts w:eastAsia="等线"/>
                <w:szCs w:val="20"/>
                <w:lang w:val="en-US" w:eastAsia="zh-CN"/>
              </w:rPr>
            </w:pPr>
            <w:r>
              <w:rPr>
                <w:rFonts w:eastAsia="等线"/>
                <w:szCs w:val="20"/>
                <w:lang w:val="en-US" w:eastAsia="zh-CN"/>
              </w:rPr>
              <w:t>Gonorrhea + chlamydia, annual, if sexually active</w:t>
            </w:r>
          </w:p>
        </w:tc>
        <w:tc>
          <w:tcPr>
            <w:tcW w:w="1190" w:type="pct"/>
            <w:tcBorders>
              <w:top w:val="single" w:color="C9C9C9" w:sz="6" w:space="0"/>
              <w:left w:val="single" w:color="C9C9C9" w:sz="6" w:space="0"/>
              <w:bottom w:val="single" w:color="C9C9C9" w:sz="6" w:space="0"/>
              <w:right w:val="single" w:color="C9C9C9" w:sz="6" w:space="0"/>
            </w:tcBorders>
            <w:vAlign w:val="center"/>
          </w:tcPr>
          <w:p w14:paraId="6AE24670">
            <w:pPr>
              <w:numPr>
                <w:ilvl w:val="0"/>
                <w:numId w:val="25"/>
              </w:numPr>
              <w:spacing w:line="360" w:lineRule="auto"/>
              <w:rPr>
                <w:rFonts w:eastAsia="等线"/>
                <w:szCs w:val="20"/>
                <w:lang w:val="en-US" w:eastAsia="zh-CN"/>
              </w:rPr>
            </w:pPr>
            <w:r>
              <w:rPr>
                <w:rFonts w:eastAsia="等线"/>
                <w:szCs w:val="20"/>
                <w:lang w:val="en-US" w:eastAsia="zh-CN"/>
              </w:rPr>
              <w:t>Gonorrhea + chlamydia, annual, up to </w:t>
            </w:r>
            <w:r>
              <w:rPr>
                <w:rFonts w:eastAsia="等线"/>
                <w:i/>
                <w:iCs/>
                <w:szCs w:val="20"/>
                <w:lang w:val="en-US" w:eastAsia="zh-CN"/>
              </w:rPr>
              <w:t>age 25</w:t>
            </w:r>
          </w:p>
          <w:p w14:paraId="05B51D31">
            <w:pPr>
              <w:numPr>
                <w:ilvl w:val="0"/>
                <w:numId w:val="25"/>
              </w:numPr>
              <w:spacing w:line="360" w:lineRule="auto"/>
              <w:rPr>
                <w:rFonts w:eastAsia="等线"/>
                <w:szCs w:val="20"/>
                <w:lang w:val="en-US" w:eastAsia="zh-CN"/>
              </w:rPr>
            </w:pPr>
            <w:r>
              <w:rPr>
                <w:rFonts w:eastAsia="等线"/>
                <w:szCs w:val="20"/>
                <w:lang w:val="en-US" w:eastAsia="zh-CN"/>
              </w:rPr>
              <w:t>HIV, annual</w:t>
            </w:r>
          </w:p>
        </w:tc>
        <w:tc>
          <w:tcPr>
            <w:tcW w:w="1153" w:type="pct"/>
            <w:tcBorders>
              <w:top w:val="single" w:color="C9C9C9" w:sz="6" w:space="0"/>
              <w:left w:val="single" w:color="C9C9C9" w:sz="6" w:space="0"/>
              <w:bottom w:val="single" w:color="C9C9C9" w:sz="6" w:space="0"/>
              <w:right w:val="single" w:color="C9C9C9" w:sz="6" w:space="0"/>
            </w:tcBorders>
            <w:vAlign w:val="center"/>
          </w:tcPr>
          <w:p w14:paraId="102DA6DD">
            <w:pPr>
              <w:numPr>
                <w:ilvl w:val="0"/>
                <w:numId w:val="26"/>
              </w:numPr>
              <w:spacing w:line="360" w:lineRule="auto"/>
              <w:rPr>
                <w:rFonts w:eastAsia="等线"/>
                <w:szCs w:val="20"/>
                <w:lang w:val="en-US" w:eastAsia="zh-CN"/>
              </w:rPr>
            </w:pPr>
            <w:r>
              <w:rPr>
                <w:rFonts w:eastAsia="等线"/>
                <w:szCs w:val="20"/>
                <w:lang w:val="en-US" w:eastAsia="zh-CN"/>
              </w:rPr>
              <w:t>Lipid profile q 5 yr at </w:t>
            </w:r>
            <w:r>
              <w:rPr>
                <w:rFonts w:eastAsia="等线"/>
                <w:i/>
                <w:iCs/>
                <w:szCs w:val="20"/>
                <w:lang w:val="en-US" w:eastAsia="zh-CN"/>
              </w:rPr>
              <w:t>age 45</w:t>
            </w:r>
          </w:p>
          <w:p w14:paraId="42671964">
            <w:pPr>
              <w:numPr>
                <w:ilvl w:val="0"/>
                <w:numId w:val="26"/>
              </w:numPr>
              <w:spacing w:line="360" w:lineRule="auto"/>
              <w:rPr>
                <w:rFonts w:eastAsia="等线"/>
                <w:szCs w:val="20"/>
                <w:lang w:val="en-US" w:eastAsia="zh-CN"/>
              </w:rPr>
            </w:pPr>
            <w:r>
              <w:rPr>
                <w:rFonts w:eastAsia="等线"/>
                <w:szCs w:val="20"/>
                <w:lang w:val="en-US" w:eastAsia="zh-CN"/>
              </w:rPr>
              <w:t>Fasting blood glucose q 3 yr at </w:t>
            </w:r>
            <w:r>
              <w:rPr>
                <w:rFonts w:eastAsia="等线"/>
                <w:i/>
                <w:iCs/>
                <w:szCs w:val="20"/>
                <w:lang w:val="en-US" w:eastAsia="zh-CN"/>
              </w:rPr>
              <w:t>age 45</w:t>
            </w:r>
          </w:p>
          <w:p w14:paraId="0845F882">
            <w:pPr>
              <w:numPr>
                <w:ilvl w:val="0"/>
                <w:numId w:val="26"/>
              </w:numPr>
              <w:spacing w:line="360" w:lineRule="auto"/>
              <w:rPr>
                <w:rFonts w:eastAsia="等线"/>
                <w:szCs w:val="20"/>
                <w:lang w:val="en-US" w:eastAsia="zh-CN"/>
              </w:rPr>
            </w:pPr>
            <w:r>
              <w:rPr>
                <w:rFonts w:eastAsia="等线"/>
                <w:szCs w:val="20"/>
                <w:lang w:val="en-US" w:eastAsia="zh-CN"/>
              </w:rPr>
              <w:t>Thyroid stimulating hormone (TSH) q 5 yr at </w:t>
            </w:r>
            <w:r>
              <w:rPr>
                <w:rFonts w:eastAsia="等线"/>
                <w:i/>
                <w:iCs/>
                <w:szCs w:val="20"/>
                <w:lang w:val="en-US" w:eastAsia="zh-CN"/>
              </w:rPr>
              <w:t>age 50</w:t>
            </w:r>
          </w:p>
          <w:p w14:paraId="7F5B4B45">
            <w:pPr>
              <w:numPr>
                <w:ilvl w:val="0"/>
                <w:numId w:val="26"/>
              </w:numPr>
              <w:spacing w:line="360" w:lineRule="auto"/>
              <w:rPr>
                <w:rFonts w:eastAsia="等线"/>
                <w:szCs w:val="20"/>
                <w:lang w:val="en-US" w:eastAsia="zh-CN"/>
              </w:rPr>
            </w:pPr>
            <w:r>
              <w:rPr>
                <w:rFonts w:eastAsia="等线"/>
                <w:szCs w:val="20"/>
                <w:lang w:val="en-US" w:eastAsia="zh-CN"/>
              </w:rPr>
              <w:t>HIV, annual</w:t>
            </w:r>
          </w:p>
        </w:tc>
        <w:tc>
          <w:tcPr>
            <w:tcW w:w="962" w:type="pct"/>
            <w:tcBorders>
              <w:top w:val="single" w:color="C9C9C9" w:sz="6" w:space="0"/>
              <w:left w:val="single" w:color="C9C9C9" w:sz="6" w:space="0"/>
              <w:bottom w:val="single" w:color="C9C9C9" w:sz="6" w:space="0"/>
              <w:right w:val="single" w:color="C9C9C9" w:sz="6" w:space="0"/>
            </w:tcBorders>
            <w:vAlign w:val="center"/>
          </w:tcPr>
          <w:p w14:paraId="6C63912C">
            <w:pPr>
              <w:numPr>
                <w:ilvl w:val="0"/>
                <w:numId w:val="27"/>
              </w:numPr>
              <w:spacing w:line="360" w:lineRule="auto"/>
              <w:rPr>
                <w:rFonts w:eastAsia="等线"/>
                <w:szCs w:val="20"/>
                <w:lang w:val="en-US" w:eastAsia="zh-CN"/>
              </w:rPr>
            </w:pPr>
            <w:r>
              <w:rPr>
                <w:rFonts w:eastAsia="等线"/>
                <w:szCs w:val="20"/>
                <w:lang w:val="en-US" w:eastAsia="zh-CN"/>
              </w:rPr>
              <w:t>Lipid profile q 5 yr</w:t>
            </w:r>
          </w:p>
          <w:p w14:paraId="42C52F9C">
            <w:pPr>
              <w:numPr>
                <w:ilvl w:val="0"/>
                <w:numId w:val="27"/>
              </w:numPr>
              <w:spacing w:line="360" w:lineRule="auto"/>
              <w:rPr>
                <w:rFonts w:eastAsia="等线"/>
                <w:szCs w:val="20"/>
                <w:lang w:val="en-US" w:eastAsia="zh-CN"/>
              </w:rPr>
            </w:pPr>
            <w:r>
              <w:rPr>
                <w:rFonts w:eastAsia="等线"/>
                <w:szCs w:val="20"/>
                <w:lang w:val="en-US" w:eastAsia="zh-CN"/>
              </w:rPr>
              <w:t>Fasting blood glucose q 3 yr</w:t>
            </w:r>
          </w:p>
          <w:p w14:paraId="21C0396F">
            <w:pPr>
              <w:numPr>
                <w:ilvl w:val="0"/>
                <w:numId w:val="27"/>
              </w:numPr>
              <w:spacing w:line="360" w:lineRule="auto"/>
              <w:rPr>
                <w:rFonts w:eastAsia="等线"/>
                <w:szCs w:val="20"/>
                <w:lang w:val="en-US" w:eastAsia="zh-CN"/>
              </w:rPr>
            </w:pPr>
            <w:r>
              <w:rPr>
                <w:rFonts w:eastAsia="等线"/>
                <w:szCs w:val="20"/>
                <w:lang w:val="en-US" w:eastAsia="zh-CN"/>
              </w:rPr>
              <w:t>Bone mineral density study at </w:t>
            </w:r>
            <w:r>
              <w:rPr>
                <w:rFonts w:eastAsia="等线"/>
                <w:i/>
                <w:iCs/>
                <w:szCs w:val="20"/>
                <w:lang w:val="en-US" w:eastAsia="zh-CN"/>
              </w:rPr>
              <w:t>65 (earlier with risk factors)</w:t>
            </w:r>
          </w:p>
          <w:p w14:paraId="66680EEB">
            <w:pPr>
              <w:numPr>
                <w:ilvl w:val="0"/>
                <w:numId w:val="27"/>
              </w:numPr>
              <w:spacing w:line="360" w:lineRule="auto"/>
              <w:rPr>
                <w:rFonts w:eastAsia="等线"/>
                <w:szCs w:val="20"/>
                <w:lang w:val="en-US" w:eastAsia="zh-CN"/>
              </w:rPr>
            </w:pPr>
            <w:r>
              <w:rPr>
                <w:rFonts w:eastAsia="等线"/>
                <w:szCs w:val="20"/>
                <w:lang w:val="en-US" w:eastAsia="zh-CN"/>
              </w:rPr>
              <w:t>TSH q 5 yr</w:t>
            </w:r>
          </w:p>
          <w:p w14:paraId="41114508">
            <w:pPr>
              <w:numPr>
                <w:ilvl w:val="0"/>
                <w:numId w:val="27"/>
              </w:numPr>
              <w:spacing w:line="360" w:lineRule="auto"/>
              <w:rPr>
                <w:rFonts w:eastAsia="等线"/>
                <w:szCs w:val="20"/>
                <w:lang w:val="en-US" w:eastAsia="zh-CN"/>
              </w:rPr>
            </w:pPr>
            <w:r>
              <w:rPr>
                <w:rFonts w:eastAsia="等线"/>
                <w:szCs w:val="20"/>
                <w:lang w:val="en-US" w:eastAsia="zh-CN"/>
              </w:rPr>
              <w:t>Urinalysis</w:t>
            </w:r>
          </w:p>
        </w:tc>
      </w:tr>
      <w:tr w14:paraId="24B57DBE">
        <w:tblPrEx>
          <w:tblCellMar>
            <w:top w:w="15" w:type="dxa"/>
            <w:left w:w="15" w:type="dxa"/>
            <w:bottom w:w="15" w:type="dxa"/>
            <w:right w:w="15" w:type="dxa"/>
          </w:tblCellMar>
        </w:tblPrEx>
        <w:tc>
          <w:tcPr>
            <w:tcW w:w="572" w:type="pct"/>
            <w:tcBorders>
              <w:top w:val="single" w:color="C9C9C9" w:sz="6" w:space="0"/>
              <w:left w:val="single" w:color="C9C9C9" w:sz="6" w:space="0"/>
              <w:bottom w:val="single" w:color="C9C9C9" w:sz="6" w:space="0"/>
              <w:right w:val="single" w:color="C9C9C9" w:sz="6" w:space="0"/>
            </w:tcBorders>
            <w:vAlign w:val="center"/>
          </w:tcPr>
          <w:p w14:paraId="5701D4C1">
            <w:pPr>
              <w:spacing w:line="360" w:lineRule="auto"/>
              <w:rPr>
                <w:rFonts w:eastAsia="等线"/>
                <w:szCs w:val="20"/>
                <w:lang w:val="en-US" w:eastAsia="zh-CN"/>
              </w:rPr>
            </w:pPr>
            <w:r>
              <w:rPr>
                <w:rFonts w:eastAsia="等线"/>
                <w:szCs w:val="20"/>
                <w:lang w:val="en-US" w:eastAsia="zh-CN"/>
              </w:rPr>
              <w:t>Most common causes of mortality</w:t>
            </w:r>
          </w:p>
        </w:tc>
        <w:tc>
          <w:tcPr>
            <w:tcW w:w="1123" w:type="pct"/>
            <w:tcBorders>
              <w:top w:val="single" w:color="C9C9C9" w:sz="6" w:space="0"/>
              <w:left w:val="single" w:color="C9C9C9" w:sz="6" w:space="0"/>
              <w:bottom w:val="single" w:color="C9C9C9" w:sz="6" w:space="0"/>
              <w:right w:val="single" w:color="C9C9C9" w:sz="6" w:space="0"/>
            </w:tcBorders>
            <w:vAlign w:val="center"/>
          </w:tcPr>
          <w:p w14:paraId="7C4BE05A">
            <w:pPr>
              <w:numPr>
                <w:ilvl w:val="0"/>
                <w:numId w:val="28"/>
              </w:numPr>
              <w:spacing w:line="360" w:lineRule="auto"/>
              <w:rPr>
                <w:rFonts w:eastAsia="等线"/>
                <w:szCs w:val="20"/>
                <w:lang w:val="en-US" w:eastAsia="zh-CN"/>
              </w:rPr>
            </w:pPr>
            <w:r>
              <w:rPr>
                <w:rFonts w:eastAsia="等线"/>
                <w:szCs w:val="20"/>
                <w:lang w:val="en-US" w:eastAsia="zh-CN"/>
              </w:rPr>
              <w:t>Motor vehicle accidents</w:t>
            </w:r>
          </w:p>
          <w:p w14:paraId="05EAE0A6">
            <w:pPr>
              <w:numPr>
                <w:ilvl w:val="0"/>
                <w:numId w:val="28"/>
              </w:numPr>
              <w:spacing w:line="360" w:lineRule="auto"/>
              <w:rPr>
                <w:rFonts w:eastAsia="等线"/>
                <w:szCs w:val="20"/>
                <w:lang w:val="en-US" w:eastAsia="zh-CN"/>
              </w:rPr>
            </w:pPr>
            <w:r>
              <w:rPr>
                <w:rFonts w:eastAsia="等线"/>
                <w:szCs w:val="20"/>
                <w:lang w:val="en-US" w:eastAsia="zh-CN"/>
              </w:rPr>
              <w:t>Cancer</w:t>
            </w:r>
          </w:p>
          <w:p w14:paraId="1EB8EED6">
            <w:pPr>
              <w:numPr>
                <w:ilvl w:val="0"/>
                <w:numId w:val="28"/>
              </w:numPr>
              <w:spacing w:line="360" w:lineRule="auto"/>
              <w:rPr>
                <w:rFonts w:eastAsia="等线"/>
                <w:szCs w:val="20"/>
                <w:lang w:val="en-US" w:eastAsia="zh-CN"/>
              </w:rPr>
            </w:pPr>
            <w:r>
              <w:rPr>
                <w:rFonts w:eastAsia="等线"/>
                <w:szCs w:val="20"/>
                <w:lang w:val="en-US" w:eastAsia="zh-CN"/>
              </w:rPr>
              <w:t>Suicide</w:t>
            </w:r>
          </w:p>
        </w:tc>
        <w:tc>
          <w:tcPr>
            <w:tcW w:w="1190" w:type="pct"/>
            <w:tcBorders>
              <w:top w:val="single" w:color="C9C9C9" w:sz="6" w:space="0"/>
              <w:left w:val="single" w:color="C9C9C9" w:sz="6" w:space="0"/>
              <w:bottom w:val="single" w:color="C9C9C9" w:sz="6" w:space="0"/>
              <w:right w:val="single" w:color="C9C9C9" w:sz="6" w:space="0"/>
            </w:tcBorders>
            <w:vAlign w:val="center"/>
          </w:tcPr>
          <w:p w14:paraId="37AF59DD">
            <w:pPr>
              <w:numPr>
                <w:ilvl w:val="0"/>
                <w:numId w:val="29"/>
              </w:numPr>
              <w:spacing w:line="360" w:lineRule="auto"/>
              <w:rPr>
                <w:rFonts w:eastAsia="等线"/>
                <w:szCs w:val="20"/>
                <w:lang w:val="en-US" w:eastAsia="zh-CN"/>
              </w:rPr>
            </w:pPr>
            <w:r>
              <w:rPr>
                <w:rFonts w:eastAsia="等线"/>
                <w:szCs w:val="20"/>
                <w:lang w:val="en-US" w:eastAsia="zh-CN"/>
              </w:rPr>
              <w:t>Cancer</w:t>
            </w:r>
          </w:p>
          <w:p w14:paraId="5D17501F">
            <w:pPr>
              <w:numPr>
                <w:ilvl w:val="0"/>
                <w:numId w:val="29"/>
              </w:numPr>
              <w:spacing w:line="360" w:lineRule="auto"/>
              <w:rPr>
                <w:rFonts w:eastAsia="等线"/>
                <w:szCs w:val="20"/>
                <w:lang w:val="en-US" w:eastAsia="zh-CN"/>
              </w:rPr>
            </w:pPr>
            <w:r>
              <w:rPr>
                <w:rFonts w:eastAsia="等线"/>
                <w:szCs w:val="20"/>
                <w:lang w:val="en-US" w:eastAsia="zh-CN"/>
              </w:rPr>
              <w:t>Accidents</w:t>
            </w:r>
          </w:p>
          <w:p w14:paraId="6269911F">
            <w:pPr>
              <w:numPr>
                <w:ilvl w:val="0"/>
                <w:numId w:val="29"/>
              </w:numPr>
              <w:spacing w:line="360" w:lineRule="auto"/>
              <w:rPr>
                <w:rFonts w:eastAsia="等线"/>
                <w:szCs w:val="20"/>
                <w:lang w:val="en-US" w:eastAsia="zh-CN"/>
              </w:rPr>
            </w:pPr>
            <w:r>
              <w:rPr>
                <w:rFonts w:eastAsia="等线"/>
                <w:szCs w:val="20"/>
                <w:lang w:val="en-US" w:eastAsia="zh-CN"/>
              </w:rPr>
              <w:t>Cardiovascular disease</w:t>
            </w:r>
          </w:p>
        </w:tc>
        <w:tc>
          <w:tcPr>
            <w:tcW w:w="1153" w:type="pct"/>
            <w:tcBorders>
              <w:top w:val="single" w:color="C9C9C9" w:sz="6" w:space="0"/>
              <w:left w:val="single" w:color="C9C9C9" w:sz="6" w:space="0"/>
              <w:bottom w:val="single" w:color="C9C9C9" w:sz="6" w:space="0"/>
              <w:right w:val="single" w:color="C9C9C9" w:sz="6" w:space="0"/>
            </w:tcBorders>
            <w:vAlign w:val="center"/>
          </w:tcPr>
          <w:p w14:paraId="06F146A1">
            <w:pPr>
              <w:numPr>
                <w:ilvl w:val="0"/>
                <w:numId w:val="30"/>
              </w:numPr>
              <w:spacing w:line="360" w:lineRule="auto"/>
              <w:rPr>
                <w:rFonts w:eastAsia="等线"/>
                <w:szCs w:val="20"/>
                <w:lang w:val="en-US" w:eastAsia="zh-CN"/>
              </w:rPr>
            </w:pPr>
            <w:r>
              <w:rPr>
                <w:rFonts w:eastAsia="等线"/>
                <w:szCs w:val="20"/>
                <w:lang w:val="en-US" w:eastAsia="zh-CN"/>
              </w:rPr>
              <w:t>Cancer</w:t>
            </w:r>
          </w:p>
          <w:p w14:paraId="712F4555">
            <w:pPr>
              <w:numPr>
                <w:ilvl w:val="0"/>
                <w:numId w:val="30"/>
              </w:numPr>
              <w:spacing w:line="360" w:lineRule="auto"/>
              <w:rPr>
                <w:rFonts w:eastAsia="等线"/>
                <w:szCs w:val="20"/>
                <w:lang w:val="en-US" w:eastAsia="zh-CN"/>
              </w:rPr>
            </w:pPr>
            <w:r>
              <w:rPr>
                <w:rFonts w:eastAsia="等线"/>
                <w:szCs w:val="20"/>
                <w:lang w:val="en-US" w:eastAsia="zh-CN"/>
              </w:rPr>
              <w:t>Cardiovascular disease</w:t>
            </w:r>
          </w:p>
          <w:p w14:paraId="3D83CC95">
            <w:pPr>
              <w:numPr>
                <w:ilvl w:val="0"/>
                <w:numId w:val="30"/>
              </w:numPr>
              <w:spacing w:line="360" w:lineRule="auto"/>
              <w:rPr>
                <w:rFonts w:eastAsia="等线"/>
                <w:szCs w:val="20"/>
                <w:lang w:val="en-US" w:eastAsia="zh-CN"/>
              </w:rPr>
            </w:pPr>
            <w:r>
              <w:rPr>
                <w:rFonts w:eastAsia="等线"/>
                <w:szCs w:val="20"/>
                <w:lang w:val="en-US" w:eastAsia="zh-CN"/>
              </w:rPr>
              <w:t>Accidents</w:t>
            </w:r>
          </w:p>
        </w:tc>
        <w:tc>
          <w:tcPr>
            <w:tcW w:w="962" w:type="pct"/>
            <w:tcBorders>
              <w:top w:val="single" w:color="C9C9C9" w:sz="6" w:space="0"/>
              <w:left w:val="single" w:color="C9C9C9" w:sz="6" w:space="0"/>
              <w:bottom w:val="single" w:color="C9C9C9" w:sz="6" w:space="0"/>
              <w:right w:val="single" w:color="C9C9C9" w:sz="6" w:space="0"/>
            </w:tcBorders>
            <w:vAlign w:val="center"/>
          </w:tcPr>
          <w:p w14:paraId="044C4FF7">
            <w:pPr>
              <w:numPr>
                <w:ilvl w:val="0"/>
                <w:numId w:val="31"/>
              </w:numPr>
              <w:spacing w:line="360" w:lineRule="auto"/>
              <w:rPr>
                <w:rFonts w:eastAsia="等线"/>
                <w:szCs w:val="20"/>
                <w:lang w:val="en-US" w:eastAsia="zh-CN"/>
              </w:rPr>
            </w:pPr>
            <w:r>
              <w:rPr>
                <w:rFonts w:eastAsia="等线"/>
                <w:szCs w:val="20"/>
                <w:lang w:val="en-US" w:eastAsia="zh-CN"/>
              </w:rPr>
              <w:t>Cardiovascular disease</w:t>
            </w:r>
          </w:p>
          <w:p w14:paraId="7EA4766B">
            <w:pPr>
              <w:numPr>
                <w:ilvl w:val="0"/>
                <w:numId w:val="31"/>
              </w:numPr>
              <w:spacing w:line="360" w:lineRule="auto"/>
              <w:rPr>
                <w:rFonts w:eastAsia="等线"/>
                <w:szCs w:val="20"/>
                <w:lang w:val="en-US" w:eastAsia="zh-CN"/>
              </w:rPr>
            </w:pPr>
            <w:r>
              <w:rPr>
                <w:rFonts w:eastAsia="等线"/>
                <w:szCs w:val="20"/>
                <w:lang w:val="en-US" w:eastAsia="zh-CN"/>
              </w:rPr>
              <w:t>Cancer</w:t>
            </w:r>
          </w:p>
          <w:p w14:paraId="065FCFD9">
            <w:pPr>
              <w:numPr>
                <w:ilvl w:val="0"/>
                <w:numId w:val="31"/>
              </w:numPr>
              <w:spacing w:line="360" w:lineRule="auto"/>
              <w:rPr>
                <w:rFonts w:eastAsia="等线"/>
                <w:szCs w:val="20"/>
                <w:lang w:val="en-US" w:eastAsia="zh-CN"/>
              </w:rPr>
            </w:pPr>
            <w:r>
              <w:rPr>
                <w:rFonts w:eastAsia="等线"/>
                <w:szCs w:val="20"/>
                <w:lang w:val="en-US" w:eastAsia="zh-CN"/>
              </w:rPr>
              <w:t>Cerebrovascular disease</w:t>
            </w:r>
          </w:p>
        </w:tc>
      </w:tr>
    </w:tbl>
    <w:p w14:paraId="61A5A78E">
      <w:pPr>
        <w:spacing w:line="360" w:lineRule="auto"/>
        <w:rPr>
          <w:rFonts w:eastAsia="等线"/>
          <w:szCs w:val="20"/>
          <w:lang w:val="en-US" w:eastAsia="zh-CN"/>
        </w:rPr>
      </w:pPr>
      <w:bookmarkStart w:id="82" w:name="casefiles.obgyn6e_cs29fn6"/>
      <w:bookmarkEnd w:id="82"/>
      <w:r>
        <w:rPr>
          <w:rFonts w:eastAsia="等线"/>
          <w:szCs w:val="20"/>
          <w:vertAlign w:val="superscript"/>
          <w:lang w:val="en-US" w:eastAsia="zh-CN"/>
        </w:rPr>
        <w:t>a</w:t>
      </w:r>
      <w:r>
        <w:rPr>
          <w:rFonts w:eastAsia="等线"/>
          <w:i/>
          <w:iCs/>
          <w:szCs w:val="20"/>
          <w:lang w:val="en-US" w:eastAsia="zh-CN"/>
        </w:rPr>
        <w:t>Some experts recommend mammography beginning at age 40 years, whereas others question its efficacy in decreasing mortality</w:t>
      </w:r>
      <w:r>
        <w:rPr>
          <w:rFonts w:eastAsia="等线"/>
          <w:szCs w:val="20"/>
          <w:lang w:val="en-US" w:eastAsia="zh-CN"/>
        </w:rPr>
        <w:t>.</w:t>
      </w:r>
    </w:p>
    <w:p w14:paraId="2B19E202">
      <w:pPr>
        <w:spacing w:line="360" w:lineRule="auto"/>
        <w:rPr>
          <w:rFonts w:eastAsia="等线"/>
          <w:szCs w:val="20"/>
          <w:lang w:val="en-US" w:eastAsia="zh-CN"/>
        </w:rPr>
      </w:pPr>
      <w:bookmarkStart w:id="83" w:name="casefiles.obgyn6e_cs29fn7"/>
      <w:bookmarkEnd w:id="83"/>
      <w:r>
        <w:rPr>
          <w:rFonts w:eastAsia="等线"/>
          <w:szCs w:val="20"/>
          <w:vertAlign w:val="superscript"/>
          <w:lang w:val="en-US" w:eastAsia="zh-CN"/>
        </w:rPr>
        <w:t>b</w:t>
      </w:r>
      <w:r>
        <w:rPr>
          <w:rFonts w:eastAsia="等线"/>
          <w:i/>
          <w:iCs/>
          <w:szCs w:val="20"/>
          <w:lang w:val="en-US" w:eastAsia="zh-CN"/>
        </w:rPr>
        <w:t>Administer meningococcus vaccine to students, ages 19 to 21, who are in first year of college or who live in residence halls</w:t>
      </w:r>
      <w:r>
        <w:rPr>
          <w:rFonts w:eastAsia="等线"/>
          <w:szCs w:val="20"/>
          <w:lang w:val="en-US" w:eastAsia="zh-CN"/>
        </w:rPr>
        <w:t>.</w:t>
      </w:r>
    </w:p>
    <w:p w14:paraId="1B001E07">
      <w:pPr>
        <w:spacing w:line="360" w:lineRule="auto"/>
        <w:rPr>
          <w:rFonts w:eastAsia="等线"/>
          <w:szCs w:val="20"/>
          <w:lang w:val="en-US" w:eastAsia="zh-CN"/>
        </w:rPr>
      </w:pPr>
      <w:bookmarkStart w:id="84" w:name="casefiles.obgyn6e_cs29fn7a"/>
      <w:bookmarkEnd w:id="84"/>
      <w:r>
        <w:rPr>
          <w:rFonts w:eastAsia="等线"/>
          <w:szCs w:val="20"/>
          <w:vertAlign w:val="superscript"/>
          <w:lang w:val="en-US" w:eastAsia="zh-CN"/>
        </w:rPr>
        <w:t>c</w:t>
      </w:r>
      <w:r>
        <w:rPr>
          <w:rFonts w:eastAsia="等线"/>
          <w:i/>
          <w:iCs/>
          <w:szCs w:val="20"/>
          <w:lang w:val="en-US" w:eastAsia="zh-CN"/>
        </w:rPr>
        <w:t>Colonoscopy for patients with negative screenings is not recommended after age 75; should be case by case from age 76-85 based on risk factor and hx</w:t>
      </w:r>
      <w:r>
        <w:rPr>
          <w:rFonts w:eastAsia="等线"/>
          <w:szCs w:val="20"/>
          <w:lang w:val="en-US" w:eastAsia="zh-CN"/>
        </w:rPr>
        <w:t>.</w:t>
      </w:r>
    </w:p>
    <w:p w14:paraId="6E8CA7F7">
      <w:pPr>
        <w:spacing w:line="360" w:lineRule="auto"/>
        <w:rPr>
          <w:rFonts w:eastAsia="等线"/>
          <w:szCs w:val="20"/>
          <w:lang w:val="en-US" w:eastAsia="zh-CN"/>
        </w:rPr>
      </w:pPr>
      <w:bookmarkStart w:id="85" w:name="casefiles.obgyn6e_cs29fn8"/>
      <w:bookmarkEnd w:id="85"/>
      <w:r>
        <w:rPr>
          <w:rFonts w:eastAsia="等线"/>
          <w:i/>
          <w:iCs/>
          <w:szCs w:val="20"/>
          <w:lang w:val="en-US" w:eastAsia="zh-CN"/>
        </w:rPr>
        <w:t>Abbreviations: HIV, human immunodeficiency virus; hx, history; q, every; TdaP, tetanus, diphtheria, and pertussis; TSH, thyroid-stimulating hormone</w:t>
      </w:r>
      <w:r>
        <w:rPr>
          <w:rFonts w:eastAsia="等线"/>
          <w:szCs w:val="20"/>
          <w:lang w:val="en-US" w:eastAsia="zh-CN"/>
        </w:rPr>
        <w:t>.</w:t>
      </w:r>
    </w:p>
    <w:p w14:paraId="25149C21">
      <w:pPr>
        <w:spacing w:line="360" w:lineRule="auto"/>
        <w:rPr>
          <w:rFonts w:eastAsia="等线"/>
          <w:szCs w:val="20"/>
          <w:lang w:val="en-US" w:eastAsia="zh-CN"/>
        </w:rPr>
      </w:pPr>
      <w:bookmarkStart w:id="86" w:name="casefiles.obgyn6e_cs29fn8a"/>
      <w:bookmarkEnd w:id="86"/>
      <w:r>
        <w:rPr>
          <w:rFonts w:eastAsia="等线"/>
          <w:i/>
          <w:iCs/>
          <w:szCs w:val="20"/>
          <w:lang w:val="en-US" w:eastAsia="zh-CN"/>
        </w:rPr>
        <w:t>Italicized age indicates the year that the screening should start unless otherwise indicated</w:t>
      </w:r>
      <w:r>
        <w:rPr>
          <w:rFonts w:eastAsia="等线"/>
          <w:szCs w:val="20"/>
          <w:lang w:val="en-US" w:eastAsia="zh-CN"/>
        </w:rPr>
        <w:t>.</w:t>
      </w:r>
    </w:p>
    <w:p w14:paraId="22B658F5">
      <w:pPr>
        <w:spacing w:line="360" w:lineRule="auto"/>
        <w:rPr>
          <w:rFonts w:eastAsia="等线"/>
          <w:szCs w:val="20"/>
          <w:lang w:val="en-US" w:eastAsia="zh-CN"/>
        </w:rPr>
      </w:pPr>
      <w:bookmarkStart w:id="87" w:name="casefiles.obgyn6e_cs29fn9"/>
      <w:bookmarkEnd w:id="87"/>
      <w:r>
        <w:rPr>
          <w:rFonts w:eastAsia="等线"/>
          <w:i/>
          <w:iCs/>
          <w:szCs w:val="20"/>
          <w:lang w:val="en-US" w:eastAsia="zh-CN"/>
        </w:rPr>
        <w:t>Data from American College of Obstetricians and Gynecologists</w:t>
      </w:r>
      <w:r>
        <w:rPr>
          <w:rFonts w:eastAsia="等线"/>
          <w:szCs w:val="20"/>
          <w:lang w:val="en-US" w:eastAsia="zh-CN"/>
        </w:rPr>
        <w:t>. ACOG Committee Opinion No. 534. </w:t>
      </w:r>
      <w:r>
        <w:rPr>
          <w:rFonts w:eastAsia="等线"/>
          <w:i/>
          <w:iCs/>
          <w:szCs w:val="20"/>
          <w:lang w:val="en-US" w:eastAsia="zh-CN"/>
        </w:rPr>
        <w:t>Washington, DC: American College of Obstetricians and Gynecologists; 2012 (Reaffirmed 2014)</w:t>
      </w:r>
      <w:r>
        <w:rPr>
          <w:rFonts w:eastAsia="等线"/>
          <w:szCs w:val="20"/>
          <w:lang w:val="en-US" w:eastAsia="zh-CN"/>
        </w:rPr>
        <w:t>.</w:t>
      </w:r>
    </w:p>
    <w:p w14:paraId="5F69BB5F">
      <w:pPr>
        <w:spacing w:line="360" w:lineRule="auto"/>
        <w:rPr>
          <w:rFonts w:hint="eastAsia" w:eastAsia="等线"/>
          <w:b/>
          <w:bCs/>
          <w:szCs w:val="20"/>
          <w:lang w:val="en-US" w:eastAsia="zh-CN"/>
        </w:rPr>
      </w:pPr>
      <w:r>
        <w:rPr>
          <w:rFonts w:eastAsia="等线"/>
          <w:b/>
          <w:bCs/>
          <w:szCs w:val="20"/>
          <w:lang w:val="en-US" w:eastAsia="zh-CN"/>
        </w:rPr>
        <w:t>SUMMARY OF CERVICAL CYTOLOGY SCREENING</w:t>
      </w:r>
      <w:bookmarkStart w:id="88" w:name="259864287"/>
      <w:bookmarkEnd w:id="88"/>
    </w:p>
    <w:p w14:paraId="76461F33">
      <w:pPr>
        <w:spacing w:line="360" w:lineRule="auto"/>
        <w:rPr>
          <w:rFonts w:eastAsia="等线"/>
          <w:szCs w:val="20"/>
          <w:lang w:val="en-US" w:eastAsia="zh-CN"/>
        </w:rPr>
      </w:pPr>
      <w:r>
        <w:rPr>
          <w:rFonts w:eastAsia="等线"/>
          <w:szCs w:val="20"/>
          <w:lang w:val="en-US" w:eastAsia="zh-CN"/>
        </w:rPr>
        <w:t>Table 29–2SUMMARY OF CERVICAL CYTOLOGY SCREENING</w:t>
      </w:r>
    </w:p>
    <w:tbl>
      <w:tblPr>
        <w:tblStyle w:val="14"/>
        <w:tblW w:w="5000" w:type="pct"/>
        <w:tblInd w:w="0" w:type="dxa"/>
        <w:tblLayout w:type="autofit"/>
        <w:tblCellMar>
          <w:top w:w="15" w:type="dxa"/>
          <w:left w:w="15" w:type="dxa"/>
          <w:bottom w:w="15" w:type="dxa"/>
          <w:right w:w="15" w:type="dxa"/>
        </w:tblCellMar>
      </w:tblPr>
      <w:tblGrid>
        <w:gridCol w:w="9056"/>
      </w:tblGrid>
      <w:tr w14:paraId="48ABE64A">
        <w:tblPrEx>
          <w:tblCellMar>
            <w:top w:w="15" w:type="dxa"/>
            <w:left w:w="15" w:type="dxa"/>
            <w:bottom w:w="15" w:type="dxa"/>
            <w:right w:w="15" w:type="dxa"/>
          </w:tblCellMar>
        </w:tblPrEx>
        <w:tc>
          <w:tcPr>
            <w:tcW w:w="5000" w:type="pct"/>
            <w:tcBorders>
              <w:top w:val="single" w:color="C9C9C9" w:sz="6" w:space="0"/>
              <w:left w:val="single" w:color="C9C9C9" w:sz="6" w:space="0"/>
              <w:bottom w:val="single" w:color="C9C9C9" w:sz="6" w:space="0"/>
              <w:right w:val="single" w:color="C9C9C9" w:sz="6" w:space="0"/>
            </w:tcBorders>
            <w:vAlign w:val="center"/>
          </w:tcPr>
          <w:p w14:paraId="7B27D2BF">
            <w:pPr>
              <w:numPr>
                <w:ilvl w:val="0"/>
                <w:numId w:val="32"/>
              </w:numPr>
              <w:spacing w:line="360" w:lineRule="auto"/>
              <w:rPr>
                <w:rFonts w:eastAsia="等线"/>
                <w:b/>
                <w:bCs/>
                <w:szCs w:val="20"/>
                <w:lang w:val="en-US" w:eastAsia="zh-CN"/>
              </w:rPr>
            </w:pPr>
            <w:r>
              <w:rPr>
                <w:rFonts w:eastAsia="等线"/>
                <w:b/>
                <w:bCs/>
                <w:szCs w:val="20"/>
                <w:lang w:val="en-US" w:eastAsia="zh-CN"/>
              </w:rPr>
              <w:t>Less than 21 yr: No screening recommended</w:t>
            </w:r>
          </w:p>
          <w:p w14:paraId="41CCE6E4">
            <w:pPr>
              <w:numPr>
                <w:ilvl w:val="0"/>
                <w:numId w:val="32"/>
              </w:numPr>
              <w:spacing w:line="360" w:lineRule="auto"/>
              <w:rPr>
                <w:rFonts w:eastAsia="等线"/>
                <w:b/>
                <w:bCs/>
                <w:szCs w:val="20"/>
                <w:lang w:val="en-US" w:eastAsia="zh-CN"/>
              </w:rPr>
            </w:pPr>
            <w:r>
              <w:rPr>
                <w:rFonts w:eastAsia="等线"/>
                <w:b/>
                <w:bCs/>
                <w:szCs w:val="20"/>
                <w:lang w:val="en-US" w:eastAsia="zh-CN"/>
              </w:rPr>
              <w:t>21-29 yr: Cytology (Pap smear) alone every 3 years</w:t>
            </w:r>
          </w:p>
          <w:p w14:paraId="6CC29C41">
            <w:pPr>
              <w:numPr>
                <w:ilvl w:val="0"/>
                <w:numId w:val="32"/>
              </w:numPr>
              <w:spacing w:line="360" w:lineRule="auto"/>
              <w:rPr>
                <w:rFonts w:eastAsia="等线"/>
                <w:b/>
                <w:bCs/>
                <w:szCs w:val="20"/>
                <w:lang w:val="en-US" w:eastAsia="zh-CN"/>
              </w:rPr>
            </w:pPr>
            <w:r>
              <w:rPr>
                <w:rFonts w:eastAsia="等线"/>
                <w:b/>
                <w:bCs/>
                <w:szCs w:val="20"/>
                <w:lang w:val="en-US" w:eastAsia="zh-CN"/>
              </w:rPr>
              <w:t>30-65 yr (two options): Cytology with human papillomavirus cotesting every 5 years (preferred) or cytology alone every 3 years (acceptable)</w:t>
            </w:r>
          </w:p>
          <w:p w14:paraId="00F16B3E">
            <w:pPr>
              <w:numPr>
                <w:ilvl w:val="0"/>
                <w:numId w:val="32"/>
              </w:numPr>
              <w:spacing w:line="360" w:lineRule="auto"/>
              <w:rPr>
                <w:rFonts w:eastAsia="等线"/>
                <w:b/>
                <w:bCs/>
                <w:szCs w:val="20"/>
                <w:lang w:val="en-US" w:eastAsia="zh-CN"/>
              </w:rPr>
            </w:pPr>
            <w:r>
              <w:rPr>
                <w:rFonts w:eastAsia="等线"/>
                <w:b/>
                <w:bCs/>
                <w:szCs w:val="20"/>
                <w:lang w:val="en-US" w:eastAsia="zh-CN"/>
              </w:rPr>
              <w:t>65+ yr: No screening recommended if adequate prior screening has been negative and high risk factors (eg, prior abnormal cervical dysplasia) are not present</w:t>
            </w:r>
          </w:p>
        </w:tc>
      </w:tr>
    </w:tbl>
    <w:p w14:paraId="05AE8AA4">
      <w:pPr>
        <w:spacing w:line="360" w:lineRule="auto"/>
        <w:rPr>
          <w:rFonts w:eastAsia="等线"/>
          <w:b/>
          <w:bCs/>
          <w:szCs w:val="20"/>
          <w:lang w:val="en-US" w:eastAsia="zh-CN"/>
        </w:rPr>
      </w:pPr>
      <w:r>
        <w:rPr>
          <w:rFonts w:eastAsia="等线"/>
          <w:b/>
          <w:bCs/>
          <w:szCs w:val="20"/>
          <w:lang w:val="en-US" w:eastAsia="zh-CN"/>
        </w:rPr>
        <w:t>Immunizations</w:t>
      </w:r>
    </w:p>
    <w:p w14:paraId="140967C8">
      <w:pPr>
        <w:spacing w:line="360" w:lineRule="auto"/>
        <w:rPr>
          <w:rFonts w:eastAsia="等线"/>
          <w:szCs w:val="20"/>
          <w:lang w:val="en-US" w:eastAsia="zh-CN"/>
        </w:rPr>
      </w:pPr>
      <w:bookmarkStart w:id="89" w:name="259864288"/>
      <w:bookmarkEnd w:id="89"/>
      <w:bookmarkStart w:id="90" w:name="259864289"/>
      <w:bookmarkEnd w:id="90"/>
      <w:r>
        <w:rPr>
          <w:rFonts w:eastAsia="等线"/>
          <w:szCs w:val="20"/>
          <w:lang w:val="en-US" w:eastAsia="zh-CN"/>
        </w:rPr>
        <w:t>The administration of immunizations is another important component of preventive health in older adults. Routine immunizations include an annual influenza vaccine and the pneumococcal vaccines (23-valent polysaccharide vaccine and 13-valent pneumococcal conjugate vaccine, given sequentially). The influenza vaccine is especially important in the geriatric population since more than 90% of influenza-related deaths occur in patients over 60 years. Two herpes zoster vaccines are on the market: a live attenuated vaccine for immunocompetent patients over age 60 and a recombinant herpes zoster vaccine for patients over age 50 (two doses separated by 2-6 months). The recombinant vaccine (Shingrix®) is recommended because of its better efficacy. Patients who have had shingles can still receive the vaccine.</w:t>
      </w:r>
    </w:p>
    <w:p w14:paraId="47DF31F5">
      <w:pPr>
        <w:spacing w:line="360" w:lineRule="auto"/>
        <w:rPr>
          <w:rFonts w:eastAsia="等线"/>
          <w:b/>
          <w:bCs/>
          <w:szCs w:val="20"/>
          <w:lang w:val="en-US" w:eastAsia="zh-CN"/>
        </w:rPr>
      </w:pPr>
      <w:r>
        <w:rPr>
          <w:rFonts w:eastAsia="等线"/>
          <w:b/>
          <w:bCs/>
          <w:szCs w:val="20"/>
          <w:lang w:val="en-US" w:eastAsia="zh-CN"/>
        </w:rPr>
        <w:t>Tobacco Cessation</w:t>
      </w:r>
    </w:p>
    <w:p w14:paraId="588C56B9">
      <w:pPr>
        <w:spacing w:line="360" w:lineRule="auto"/>
        <w:rPr>
          <w:rFonts w:eastAsia="等线"/>
          <w:szCs w:val="20"/>
          <w:lang w:val="en-US" w:eastAsia="zh-CN"/>
        </w:rPr>
      </w:pPr>
      <w:bookmarkStart w:id="91" w:name="259864290"/>
      <w:bookmarkEnd w:id="91"/>
      <w:bookmarkStart w:id="92" w:name="259864291"/>
      <w:bookmarkEnd w:id="92"/>
      <w:r>
        <w:rPr>
          <w:rFonts w:eastAsia="等线"/>
          <w:szCs w:val="20"/>
          <w:lang w:val="en-US" w:eastAsia="zh-CN"/>
        </w:rPr>
        <w:t>The most important modifiable factor contributing to mortality is tobacco use. Thus, it is crucial that every patient who smokes is identified and counseled at </w:t>
      </w:r>
      <w:r>
        <w:rPr>
          <w:rFonts w:eastAsia="等线"/>
          <w:i/>
          <w:iCs/>
          <w:szCs w:val="20"/>
          <w:lang w:val="en-US" w:eastAsia="zh-CN"/>
        </w:rPr>
        <w:t>every visit</w:t>
      </w:r>
      <w:r>
        <w:rPr>
          <w:rFonts w:eastAsia="等线"/>
          <w:szCs w:val="20"/>
          <w:lang w:val="en-US" w:eastAsia="zh-CN"/>
        </w:rPr>
        <w:t> about the benefits of stopping. Providers should have a discussion with patients who smoke about whether they are willing to stop. If they are willing, one of the major effective interventions (bupropion, nicotine gum, nicotine inhaler, nicotine nasal spray, or nicotine patch) should be offered. Those unwilling to quit should be given a brief intervention based on the 5 Rs:</w:t>
      </w:r>
    </w:p>
    <w:p w14:paraId="1AE7E56E">
      <w:pPr>
        <w:numPr>
          <w:ilvl w:val="0"/>
          <w:numId w:val="33"/>
        </w:numPr>
        <w:spacing w:line="360" w:lineRule="auto"/>
        <w:rPr>
          <w:rFonts w:eastAsia="等线"/>
          <w:szCs w:val="20"/>
          <w:lang w:val="en-US" w:eastAsia="zh-CN"/>
        </w:rPr>
      </w:pPr>
      <w:bookmarkStart w:id="93" w:name="259864292"/>
      <w:bookmarkEnd w:id="93"/>
      <w:r>
        <w:rPr>
          <w:rFonts w:eastAsia="等线"/>
          <w:szCs w:val="20"/>
          <w:lang w:val="en-US" w:eastAsia="zh-CN"/>
        </w:rPr>
        <w:t>Relevance—Indicate why quitting is personally relevant.</w:t>
      </w:r>
    </w:p>
    <w:p w14:paraId="4D5967DB">
      <w:pPr>
        <w:numPr>
          <w:ilvl w:val="0"/>
          <w:numId w:val="33"/>
        </w:numPr>
        <w:spacing w:line="360" w:lineRule="auto"/>
        <w:rPr>
          <w:rFonts w:eastAsia="等线"/>
          <w:szCs w:val="20"/>
          <w:lang w:val="en-US" w:eastAsia="zh-CN"/>
        </w:rPr>
      </w:pPr>
      <w:r>
        <w:rPr>
          <w:rFonts w:eastAsia="等线"/>
          <w:szCs w:val="20"/>
          <w:lang w:val="en-US" w:eastAsia="zh-CN"/>
        </w:rPr>
        <w:t>Risks—Help patient to identify negative consequences of smoking.</w:t>
      </w:r>
    </w:p>
    <w:p w14:paraId="79F20D8E">
      <w:pPr>
        <w:numPr>
          <w:ilvl w:val="0"/>
          <w:numId w:val="33"/>
        </w:numPr>
        <w:spacing w:line="360" w:lineRule="auto"/>
        <w:rPr>
          <w:rFonts w:eastAsia="等线"/>
          <w:szCs w:val="20"/>
          <w:lang w:val="en-US" w:eastAsia="zh-CN"/>
        </w:rPr>
      </w:pPr>
      <w:r>
        <w:rPr>
          <w:rFonts w:eastAsia="等线"/>
          <w:szCs w:val="20"/>
          <w:lang w:val="en-US" w:eastAsia="zh-CN"/>
        </w:rPr>
        <w:t>Rewards—Ask the patient to identify benefits of stopping tobacco use.</w:t>
      </w:r>
    </w:p>
    <w:p w14:paraId="55FEE7FC">
      <w:pPr>
        <w:numPr>
          <w:ilvl w:val="0"/>
          <w:numId w:val="33"/>
        </w:numPr>
        <w:spacing w:line="360" w:lineRule="auto"/>
        <w:rPr>
          <w:rFonts w:eastAsia="等线"/>
          <w:szCs w:val="20"/>
          <w:lang w:val="en-US" w:eastAsia="zh-CN"/>
        </w:rPr>
      </w:pPr>
      <w:r>
        <w:rPr>
          <w:rFonts w:eastAsia="等线"/>
          <w:szCs w:val="20"/>
          <w:lang w:val="en-US" w:eastAsia="zh-CN"/>
        </w:rPr>
        <w:t>Roadblocks—Identify barriers to quitting.</w:t>
      </w:r>
    </w:p>
    <w:p w14:paraId="2F16A1DD">
      <w:pPr>
        <w:numPr>
          <w:ilvl w:val="0"/>
          <w:numId w:val="33"/>
        </w:numPr>
        <w:spacing w:line="360" w:lineRule="auto"/>
        <w:rPr>
          <w:rFonts w:eastAsia="等线"/>
          <w:szCs w:val="20"/>
          <w:lang w:val="en-US" w:eastAsia="zh-CN"/>
        </w:rPr>
      </w:pPr>
      <w:r>
        <w:rPr>
          <w:rFonts w:eastAsia="等线"/>
          <w:szCs w:val="20"/>
          <w:lang w:val="en-US" w:eastAsia="zh-CN"/>
        </w:rPr>
        <w:t>Repetition—Repeat motivational interventions.</w:t>
      </w:r>
    </w:p>
    <w:p w14:paraId="124C63AB">
      <w:pPr>
        <w:spacing w:line="360" w:lineRule="auto"/>
        <w:rPr>
          <w:rFonts w:eastAsia="等线"/>
          <w:b/>
          <w:bCs/>
          <w:szCs w:val="20"/>
          <w:lang w:val="en-US" w:eastAsia="zh-CN"/>
        </w:rPr>
      </w:pPr>
      <w:r>
        <w:rPr>
          <w:rFonts w:eastAsia="等线"/>
          <w:b/>
          <w:bCs/>
          <w:szCs w:val="20"/>
          <w:lang w:val="en-US" w:eastAsia="zh-CN"/>
        </w:rPr>
        <w:t>Screening in HIV-Positive Women</w:t>
      </w:r>
    </w:p>
    <w:p w14:paraId="17985C6F">
      <w:pPr>
        <w:spacing w:line="360" w:lineRule="auto"/>
        <w:rPr>
          <w:rFonts w:eastAsia="等线"/>
          <w:szCs w:val="20"/>
          <w:lang w:val="en-US" w:eastAsia="zh-CN"/>
        </w:rPr>
      </w:pPr>
      <w:bookmarkStart w:id="94" w:name="259864293"/>
      <w:bookmarkEnd w:id="94"/>
      <w:bookmarkStart w:id="95" w:name="259864294"/>
      <w:bookmarkEnd w:id="95"/>
      <w:r>
        <w:rPr>
          <w:rFonts w:eastAsia="等线"/>
          <w:szCs w:val="20"/>
          <w:lang w:val="en-US" w:eastAsia="zh-CN"/>
        </w:rPr>
        <w:t>HIV-positive women have specific screening. There is a greater prevalence of abnormal Pap smears and increased risk of progression to high-grade disease or cancer, especially with a lower CD4 count. Pap smears should be performed twice in the first year after diagnosis or entry into care, and if normal, then annually; there does not seem to be a role for human papillomavirus (HPV) testing in this population. There are no data for when to discontinue testing (ie, perhaps continue cytology even after hysterectomy or after age 65). Although lung cancers occur more often in HIV-infected individuals, there is likely no utility for chest x-ray or sputum screening. There is a higher incidence of anal cancers in these individuals, and some experts recommend anal cytology, although there is no consensus. They should receive the usual immunizations, except varicella-zoster, which is usually withheld. They should also receive the pneumococcal 13-valent vaccine, and if the vaccine is given when the CD4 count is below 200 cells/mm</w:t>
      </w:r>
      <w:r>
        <w:rPr>
          <w:rFonts w:eastAsia="等线"/>
          <w:szCs w:val="20"/>
          <w:vertAlign w:val="superscript"/>
          <w:lang w:val="en-US" w:eastAsia="zh-CN"/>
        </w:rPr>
        <w:t>3</w:t>
      </w:r>
      <w:r>
        <w:rPr>
          <w:rFonts w:eastAsia="等线"/>
          <w:szCs w:val="20"/>
          <w:lang w:val="en-US" w:eastAsia="zh-CN"/>
        </w:rPr>
        <w:t>, it should be repeated.</w:t>
      </w:r>
    </w:p>
    <w:p w14:paraId="4B1EC279">
      <w:pPr>
        <w:spacing w:line="360" w:lineRule="auto"/>
        <w:rPr>
          <w:rFonts w:eastAsia="等线"/>
          <w:b/>
          <w:bCs/>
          <w:szCs w:val="20"/>
          <w:lang w:val="en-US" w:eastAsia="zh-CN"/>
        </w:rPr>
      </w:pPr>
      <w:r>
        <w:rPr>
          <w:rFonts w:eastAsia="等线"/>
          <w:b/>
          <w:bCs/>
          <w:szCs w:val="20"/>
          <w:lang w:val="en-US" w:eastAsia="zh-CN"/>
        </w:rPr>
        <w:t>Controversies</w:t>
      </w:r>
    </w:p>
    <w:p w14:paraId="761785FA">
      <w:pPr>
        <w:spacing w:line="360" w:lineRule="auto"/>
        <w:rPr>
          <w:rFonts w:eastAsia="等线"/>
          <w:szCs w:val="20"/>
          <w:lang w:val="en-US" w:eastAsia="zh-CN"/>
        </w:rPr>
      </w:pPr>
      <w:bookmarkStart w:id="96" w:name="259864295"/>
      <w:bookmarkEnd w:id="96"/>
      <w:bookmarkStart w:id="97" w:name="259864296"/>
      <w:bookmarkEnd w:id="97"/>
      <w:r>
        <w:rPr>
          <w:rFonts w:eastAsia="等线"/>
          <w:szCs w:val="20"/>
          <w:lang w:val="en-US" w:eastAsia="zh-CN"/>
        </w:rPr>
        <w:t>Recently, several clinical trials have refuted the clinical utility of the internal pelvic examination (bimanual examination) for low-risk and asymptomatic women. The American College of Physicians issued guidelines in 2014 recommending against performing screening speculum/bimanual pelvic examination in asymptomatic, nonpregnant adult women. There is poor sensitivity of the bimanual examination in detecting adnexal masses. The American College of Obstetricians and Gynecologists recommends annual pelvic examinations and advises that the provider should discuss the option of complete (internal speculum and/or bimanual) examination with the patient. Women with symptoms such as vaginal discharge, pelvic pain, urinary incontinence, or pelvic pressure should have a complete examination.</w:t>
      </w:r>
    </w:p>
    <w:p w14:paraId="7F7BC8D8">
      <w:pPr>
        <w:spacing w:line="360" w:lineRule="auto"/>
        <w:rPr>
          <w:rFonts w:eastAsia="等线"/>
          <w:b/>
          <w:bCs/>
          <w:szCs w:val="20"/>
          <w:lang w:val="en-US" w:eastAsia="zh-CN"/>
        </w:rPr>
      </w:pPr>
      <w:r>
        <w:rPr>
          <w:rFonts w:eastAsia="等线"/>
          <w:b/>
          <w:bCs/>
          <w:szCs w:val="20"/>
          <w:lang w:val="en-US" w:eastAsia="zh-CN"/>
        </w:rPr>
        <w:t>Case Correlation</w:t>
      </w:r>
    </w:p>
    <w:p w14:paraId="112F113A">
      <w:pPr>
        <w:numPr>
          <w:ilvl w:val="0"/>
          <w:numId w:val="34"/>
        </w:numPr>
        <w:spacing w:line="360" w:lineRule="auto"/>
        <w:rPr>
          <w:rFonts w:eastAsia="等线"/>
          <w:szCs w:val="20"/>
          <w:lang w:val="en-US" w:eastAsia="zh-CN"/>
        </w:rPr>
      </w:pPr>
      <w:bookmarkStart w:id="98" w:name="259864297"/>
      <w:bookmarkEnd w:id="98"/>
      <w:bookmarkStart w:id="99" w:name="259864298"/>
      <w:bookmarkEnd w:id="99"/>
      <w:r>
        <w:rPr>
          <w:rFonts w:eastAsia="等线"/>
          <w:szCs w:val="20"/>
          <w:lang w:val="en-US" w:eastAsia="zh-CN"/>
        </w:rPr>
        <w:t>See Case 58 (Cervical Cancer and Pap Smear Screening).</w:t>
      </w:r>
    </w:p>
    <w:p w14:paraId="5FACB0E7">
      <w:pPr>
        <w:spacing w:line="360" w:lineRule="auto"/>
        <w:rPr>
          <w:rFonts w:eastAsia="等线"/>
          <w:b/>
          <w:bCs/>
          <w:color w:val="FF0000"/>
          <w:szCs w:val="20"/>
          <w:lang w:val="en-US" w:eastAsia="zh-CN"/>
        </w:rPr>
      </w:pPr>
      <w:r>
        <w:rPr>
          <w:rFonts w:eastAsia="等线"/>
          <w:b/>
          <w:bCs/>
          <w:color w:val="FF0000"/>
          <w:szCs w:val="20"/>
          <w:lang w:val="en-US" w:eastAsia="zh-CN"/>
        </w:rPr>
        <w:t>Clinical Pearls</w:t>
      </w:r>
    </w:p>
    <w:p w14:paraId="2E5DD2A2">
      <w:pPr>
        <w:numPr>
          <w:ilvl w:val="0"/>
          <w:numId w:val="35"/>
        </w:numPr>
        <w:spacing w:line="360" w:lineRule="auto"/>
        <w:rPr>
          <w:rFonts w:eastAsia="等线"/>
          <w:szCs w:val="20"/>
          <w:lang w:val="en-US" w:eastAsia="zh-CN"/>
        </w:rPr>
      </w:pPr>
      <w:r>
        <w:rPr>
          <w:rFonts w:eastAsia="等线"/>
          <w:szCs w:val="20"/>
          <w:lang w:val="en-US" w:eastAsia="zh-CN"/>
        </w:rPr>
        <w:t>The basic approach to health maintenance is threefold: (1) cancer screening, (2) age-appropriate immunizations, and (3) screening for common diseases.</w:t>
      </w:r>
    </w:p>
    <w:p w14:paraId="60665CFA">
      <w:pPr>
        <w:numPr>
          <w:ilvl w:val="0"/>
          <w:numId w:val="35"/>
        </w:numPr>
        <w:spacing w:line="360" w:lineRule="auto"/>
        <w:rPr>
          <w:rFonts w:eastAsia="等线"/>
          <w:szCs w:val="20"/>
          <w:lang w:val="en-US" w:eastAsia="zh-CN"/>
        </w:rPr>
      </w:pPr>
      <w:r>
        <w:rPr>
          <w:rFonts w:eastAsia="等线"/>
          <w:szCs w:val="20"/>
          <w:lang w:val="en-US" w:eastAsia="zh-CN"/>
        </w:rPr>
        <w:t>The most common cause of mortality in a woman younger than 30 years is motor vehicle accidents.</w:t>
      </w:r>
    </w:p>
    <w:p w14:paraId="5209D1A3">
      <w:pPr>
        <w:numPr>
          <w:ilvl w:val="0"/>
          <w:numId w:val="35"/>
        </w:numPr>
        <w:spacing w:line="360" w:lineRule="auto"/>
        <w:rPr>
          <w:rFonts w:eastAsia="等线"/>
          <w:szCs w:val="20"/>
          <w:lang w:val="en-US" w:eastAsia="zh-CN"/>
        </w:rPr>
      </w:pPr>
      <w:r>
        <w:rPr>
          <w:rFonts w:eastAsia="等线"/>
          <w:szCs w:val="20"/>
          <w:lang w:val="en-US" w:eastAsia="zh-CN"/>
        </w:rPr>
        <w:t>The most common causes of mortality of a woman older than 39 years are cardiovascular disease and cancer.</w:t>
      </w:r>
    </w:p>
    <w:p w14:paraId="5DBC4CDB">
      <w:pPr>
        <w:numPr>
          <w:ilvl w:val="0"/>
          <w:numId w:val="35"/>
        </w:numPr>
        <w:spacing w:line="360" w:lineRule="auto"/>
        <w:rPr>
          <w:rFonts w:eastAsia="等线"/>
          <w:szCs w:val="20"/>
          <w:lang w:val="en-US" w:eastAsia="zh-CN"/>
        </w:rPr>
      </w:pPr>
      <w:r>
        <w:rPr>
          <w:rFonts w:eastAsia="等线"/>
          <w:szCs w:val="20"/>
          <w:lang w:val="en-US" w:eastAsia="zh-CN"/>
        </w:rPr>
        <w:t>Major conditions in women aged 65 years and older include osteoporosis, heart disease, breast cancer, and depression.</w:t>
      </w:r>
    </w:p>
    <w:p w14:paraId="1BDD43F4">
      <w:pPr>
        <w:numPr>
          <w:ilvl w:val="0"/>
          <w:numId w:val="35"/>
        </w:numPr>
        <w:spacing w:line="360" w:lineRule="auto"/>
        <w:rPr>
          <w:rFonts w:eastAsia="等线"/>
          <w:szCs w:val="20"/>
          <w:lang w:val="en-US" w:eastAsia="zh-CN"/>
        </w:rPr>
      </w:pPr>
      <w:r>
        <w:rPr>
          <w:rFonts w:eastAsia="等线"/>
          <w:szCs w:val="20"/>
          <w:lang w:val="en-US" w:eastAsia="zh-CN"/>
        </w:rPr>
        <w:t>Although there are two herpes zoster vaccines on the market, the recombinant version (two doses) is recommended because of its better efficacy; anyone over the age of 50 years should be offered the herpes zoster vaccine.</w:t>
      </w:r>
    </w:p>
    <w:p w14:paraId="1284ABAE">
      <w:pPr>
        <w:numPr>
          <w:ilvl w:val="0"/>
          <w:numId w:val="35"/>
        </w:numPr>
        <w:spacing w:line="360" w:lineRule="auto"/>
        <w:rPr>
          <w:rFonts w:eastAsia="等线"/>
          <w:szCs w:val="20"/>
          <w:lang w:val="en-US" w:eastAsia="zh-CN"/>
        </w:rPr>
      </w:pPr>
      <w:r>
        <w:rPr>
          <w:rFonts w:eastAsia="等线"/>
          <w:szCs w:val="20"/>
          <w:lang w:val="en-US" w:eastAsia="zh-CN"/>
        </w:rPr>
        <w:t>Cervical cytology screening does not appear to be cost-effective in women older than age 65 when prior Pap smears have been normal.</w:t>
      </w:r>
    </w:p>
    <w:p w14:paraId="06BAE2FE">
      <w:pPr>
        <w:numPr>
          <w:ilvl w:val="0"/>
          <w:numId w:val="35"/>
        </w:numPr>
        <w:spacing w:line="360" w:lineRule="auto"/>
        <w:rPr>
          <w:rFonts w:eastAsia="等线"/>
          <w:szCs w:val="20"/>
          <w:lang w:val="en-US" w:eastAsia="zh-CN"/>
        </w:rPr>
      </w:pPr>
      <w:r>
        <w:rPr>
          <w:rFonts w:eastAsia="等线"/>
          <w:szCs w:val="20"/>
          <w:lang w:val="en-US" w:eastAsia="zh-CN"/>
        </w:rPr>
        <w:t>Tobacco use is the single most important modifiable risk factor contributing to mortality.</w:t>
      </w:r>
    </w:p>
    <w:p w14:paraId="4AA2E744">
      <w:pPr>
        <w:numPr>
          <w:ilvl w:val="0"/>
          <w:numId w:val="35"/>
        </w:numPr>
        <w:spacing w:line="360" w:lineRule="auto"/>
        <w:rPr>
          <w:rFonts w:eastAsia="等线"/>
          <w:szCs w:val="20"/>
          <w:lang w:val="en-US" w:eastAsia="zh-CN"/>
        </w:rPr>
      </w:pPr>
      <w:r>
        <w:rPr>
          <w:rFonts w:eastAsia="等线"/>
          <w:szCs w:val="20"/>
          <w:lang w:val="en-US" w:eastAsia="zh-CN"/>
        </w:rPr>
        <w:t>An atherosclerotic cardiovascular disease (ASCVD) calculator tool is useful in counseling patients on interventions that can modify the 10-year ASCVD risk.</w:t>
      </w:r>
    </w:p>
    <w:p w14:paraId="6973AFC2">
      <w:pPr>
        <w:spacing w:line="360" w:lineRule="auto"/>
        <w:rPr>
          <w:rFonts w:eastAsia="等线"/>
          <w:b/>
          <w:bCs/>
          <w:szCs w:val="20"/>
          <w:lang w:val="en-US" w:eastAsia="zh-CN"/>
        </w:rPr>
      </w:pPr>
      <w:r>
        <w:rPr>
          <w:rFonts w:eastAsia="等线"/>
          <w:b/>
          <w:bCs/>
          <w:szCs w:val="20"/>
          <w:lang w:val="en-US" w:eastAsia="zh-CN"/>
        </w:rPr>
        <w:t>Case Quiz</w:t>
      </w:r>
    </w:p>
    <w:p w14:paraId="162AA755">
      <w:pPr>
        <w:spacing w:line="360" w:lineRule="auto"/>
        <w:rPr>
          <w:rFonts w:eastAsia="等线"/>
          <w:b/>
          <w:bCs/>
          <w:szCs w:val="20"/>
          <w:lang w:val="en-US" w:eastAsia="zh-CN"/>
        </w:rPr>
      </w:pPr>
      <w:r>
        <w:rPr>
          <w:rFonts w:eastAsia="等线"/>
          <w:b/>
          <w:bCs/>
          <w:szCs w:val="20"/>
          <w:lang w:val="en-US" w:eastAsia="zh-CN"/>
        </w:rPr>
        <w:t>Question 1 of 4</w:t>
      </w:r>
    </w:p>
    <w:p w14:paraId="36813216">
      <w:pPr>
        <w:rPr>
          <w:rFonts w:ascii="Source Sans Pro" w:hAnsi="Source Sans Pro"/>
          <w:color w:val="333333"/>
          <w:sz w:val="24"/>
          <w:szCs w:val="24"/>
        </w:rPr>
      </w:pPr>
      <w:bookmarkStart w:id="100" w:name="261190018"/>
      <w:bookmarkEnd w:id="100"/>
      <w:r>
        <w:rPr>
          <w:rFonts w:ascii="Source Sans Pro" w:hAnsi="Source Sans Pro"/>
          <w:b/>
          <w:bCs/>
          <w:color w:val="333333"/>
        </w:rPr>
        <w:t>29.1</w:t>
      </w:r>
      <w:bookmarkStart w:id="101" w:name="261190019"/>
      <w:bookmarkEnd w:id="101"/>
      <w:r>
        <w:rPr>
          <w:rFonts w:hint="eastAsia" w:ascii="Source Sans Pro" w:hAnsi="Source Sans Pro"/>
          <w:color w:val="333333"/>
          <w:sz w:val="24"/>
          <w:szCs w:val="24"/>
          <w:lang w:eastAsia="zh-CN"/>
        </w:rPr>
        <w:t xml:space="preserve"> </w:t>
      </w:r>
      <w:r>
        <w:rPr>
          <w:rFonts w:eastAsia="等线"/>
          <w:szCs w:val="20"/>
          <w:lang w:val="en-US" w:eastAsia="zh-CN"/>
        </w:rPr>
        <w:t>A 57-year-old woman is being seen for a health maintenance appointment. She has not seen a health care provider for over 10 years. She had a total hysterectomy for uterine fibroids 12 years ago and denies ever having an abnormal Pap smear. The only medication the patient takes is supplemental calcium. The clinician orders a fasting glucose level, lipid panel, mammogram, colonoscopy, and a Pap smear of the vaginal cuff. Which of the following statements is most accurate regarding the screening for this patient?</w:t>
      </w:r>
    </w:p>
    <w:p w14:paraId="5063F5BE">
      <w:pPr>
        <w:spacing w:line="360" w:lineRule="auto"/>
        <w:rPr>
          <w:rFonts w:eastAsia="等线"/>
          <w:szCs w:val="20"/>
          <w:lang w:val="en-US" w:eastAsia="zh-CN"/>
        </w:rPr>
      </w:pPr>
      <w:r>
        <w:rPr>
          <w:rFonts w:eastAsia="等线"/>
          <w:szCs w:val="20"/>
          <w:lang w:val="en-US" w:eastAsia="zh-CN"/>
        </w:rPr>
        <w:t> A</w:t>
      </w:r>
      <w:bookmarkStart w:id="102" w:name="261190022"/>
      <w:bookmarkEnd w:id="102"/>
      <w:r>
        <w:rPr>
          <w:rFonts w:hint="eastAsia" w:eastAsia="等线"/>
          <w:szCs w:val="20"/>
          <w:lang w:val="en-US" w:eastAsia="zh-CN"/>
        </w:rPr>
        <w:t xml:space="preserve"> </w:t>
      </w:r>
      <w:r>
        <w:rPr>
          <w:rFonts w:eastAsia="等线"/>
          <w:szCs w:val="20"/>
          <w:lang w:val="en-US" w:eastAsia="zh-CN"/>
        </w:rPr>
        <w:t>The Pap smear of the vaginal cuff is unnecessary.</w:t>
      </w:r>
    </w:p>
    <w:p w14:paraId="4F1569D7">
      <w:pPr>
        <w:spacing w:line="360" w:lineRule="auto"/>
        <w:rPr>
          <w:rFonts w:eastAsia="等线"/>
          <w:szCs w:val="20"/>
          <w:lang w:val="en-US" w:eastAsia="zh-CN"/>
        </w:rPr>
      </w:pPr>
      <w:r>
        <w:rPr>
          <w:rFonts w:eastAsia="等线"/>
          <w:szCs w:val="20"/>
          <w:lang w:val="en-US" w:eastAsia="zh-CN"/>
        </w:rPr>
        <w:t> B</w:t>
      </w:r>
      <w:bookmarkStart w:id="103" w:name="261190024"/>
      <w:bookmarkEnd w:id="103"/>
      <w:r>
        <w:rPr>
          <w:rFonts w:hint="eastAsia" w:eastAsia="等线"/>
          <w:szCs w:val="20"/>
          <w:lang w:val="en-US" w:eastAsia="zh-CN"/>
        </w:rPr>
        <w:t xml:space="preserve"> </w:t>
      </w:r>
      <w:r>
        <w:rPr>
          <w:rFonts w:eastAsia="等线"/>
          <w:szCs w:val="20"/>
          <w:lang w:val="en-US" w:eastAsia="zh-CN"/>
        </w:rPr>
        <w:t>Colonoscopy can be delayed until age 60.</w:t>
      </w:r>
    </w:p>
    <w:p w14:paraId="6687C950">
      <w:pPr>
        <w:spacing w:line="360" w:lineRule="auto"/>
        <w:rPr>
          <w:rFonts w:eastAsia="等线"/>
          <w:szCs w:val="20"/>
          <w:lang w:val="en-US" w:eastAsia="zh-CN"/>
        </w:rPr>
      </w:pPr>
      <w:r>
        <w:rPr>
          <w:rFonts w:eastAsia="等线"/>
          <w:szCs w:val="20"/>
          <w:lang w:val="en-US" w:eastAsia="zh-CN"/>
        </w:rPr>
        <w:t> C</w:t>
      </w:r>
      <w:bookmarkStart w:id="104" w:name="261190026"/>
      <w:bookmarkEnd w:id="104"/>
      <w:r>
        <w:rPr>
          <w:rFonts w:hint="eastAsia" w:eastAsia="等线"/>
          <w:szCs w:val="20"/>
          <w:lang w:val="en-US" w:eastAsia="zh-CN"/>
        </w:rPr>
        <w:t xml:space="preserve"> </w:t>
      </w:r>
      <w:r>
        <w:rPr>
          <w:rFonts w:eastAsia="等线"/>
          <w:szCs w:val="20"/>
          <w:lang w:val="en-US" w:eastAsia="zh-CN"/>
        </w:rPr>
        <w:t>Because the patient takes supplemental calcium, a dual-energy x-ray absorptiometry (DEXA) scan is not needed.</w:t>
      </w:r>
    </w:p>
    <w:p w14:paraId="5A2EBC43">
      <w:pPr>
        <w:spacing w:line="360" w:lineRule="auto"/>
        <w:rPr>
          <w:rFonts w:eastAsia="等线"/>
          <w:szCs w:val="20"/>
          <w:lang w:val="en-US" w:eastAsia="zh-CN"/>
        </w:rPr>
      </w:pPr>
      <w:r>
        <w:rPr>
          <w:rFonts w:eastAsia="等线"/>
          <w:szCs w:val="20"/>
          <w:lang w:val="en-US" w:eastAsia="zh-CN"/>
        </w:rPr>
        <w:t> D</w:t>
      </w:r>
      <w:bookmarkStart w:id="105" w:name="261190028"/>
      <w:bookmarkEnd w:id="105"/>
      <w:r>
        <w:rPr>
          <w:rFonts w:hint="eastAsia" w:eastAsia="等线"/>
          <w:szCs w:val="20"/>
          <w:lang w:val="en-US" w:eastAsia="zh-CN"/>
        </w:rPr>
        <w:t xml:space="preserve"> </w:t>
      </w:r>
      <w:r>
        <w:rPr>
          <w:rFonts w:eastAsia="等线"/>
          <w:szCs w:val="20"/>
          <w:lang w:val="en-US" w:eastAsia="zh-CN"/>
        </w:rPr>
        <w:t>Pneumococcal vaccination is recommended at this time.</w:t>
      </w:r>
    </w:p>
    <w:p w14:paraId="5D057009">
      <w:pPr>
        <w:spacing w:line="360" w:lineRule="auto"/>
        <w:rPr>
          <w:rFonts w:eastAsia="等线"/>
          <w:szCs w:val="20"/>
          <w:lang w:val="en-US" w:eastAsia="zh-CN"/>
        </w:rPr>
      </w:pPr>
      <w:r>
        <w:rPr>
          <w:rFonts w:eastAsia="等线"/>
          <w:szCs w:val="20"/>
          <w:lang w:val="en-US" w:eastAsia="zh-CN"/>
        </w:rPr>
        <w:t>The correct answer is </w:t>
      </w:r>
      <w:r>
        <w:rPr>
          <w:rFonts w:eastAsia="等线"/>
          <w:b/>
          <w:bCs/>
          <w:szCs w:val="20"/>
          <w:lang w:val="en-US" w:eastAsia="zh-CN"/>
        </w:rPr>
        <w:t>A</w:t>
      </w:r>
      <w:r>
        <w:rPr>
          <w:rFonts w:eastAsia="等线"/>
          <w:szCs w:val="20"/>
          <w:lang w:val="en-US" w:eastAsia="zh-CN"/>
        </w:rPr>
        <w:t>. You answered </w:t>
      </w:r>
      <w:r>
        <w:rPr>
          <w:rFonts w:eastAsia="等线"/>
          <w:b/>
          <w:bCs/>
          <w:szCs w:val="20"/>
          <w:lang w:val="en-US" w:eastAsia="zh-CN"/>
        </w:rPr>
        <w:t>D</w:t>
      </w:r>
      <w:r>
        <w:rPr>
          <w:rFonts w:eastAsia="等线"/>
          <w:szCs w:val="20"/>
          <w:lang w:val="en-US" w:eastAsia="zh-CN"/>
        </w:rPr>
        <w:t>.</w:t>
      </w:r>
    </w:p>
    <w:p w14:paraId="34A7F205">
      <w:pPr>
        <w:spacing w:line="360" w:lineRule="auto"/>
        <w:rPr>
          <w:rFonts w:eastAsia="等线"/>
          <w:szCs w:val="20"/>
          <w:lang w:val="en-US" w:eastAsia="zh-CN"/>
        </w:rPr>
      </w:pPr>
      <w:r>
        <w:rPr>
          <w:rFonts w:eastAsia="等线"/>
          <w:b/>
          <w:bCs/>
          <w:szCs w:val="20"/>
          <w:lang w:val="en-US" w:eastAsia="zh-CN"/>
        </w:rPr>
        <w:t>Explanation:</w:t>
      </w:r>
      <w:bookmarkStart w:id="106" w:name="261190030"/>
      <w:bookmarkEnd w:id="106"/>
    </w:p>
    <w:p w14:paraId="29FC811C">
      <w:pPr>
        <w:spacing w:line="360" w:lineRule="auto"/>
        <w:rPr>
          <w:rFonts w:eastAsia="等线"/>
          <w:szCs w:val="20"/>
          <w:lang w:val="en-US" w:eastAsia="zh-CN"/>
        </w:rPr>
      </w:pPr>
      <w:r>
        <w:rPr>
          <w:rFonts w:eastAsia="等线"/>
          <w:b/>
          <w:bCs/>
          <w:szCs w:val="20"/>
          <w:lang w:val="en-US" w:eastAsia="zh-CN"/>
        </w:rPr>
        <w:t>A. The Pap smear of the vaginal cuff is unnecessary.</w:t>
      </w:r>
      <w:r>
        <w:rPr>
          <w:rFonts w:eastAsia="等线"/>
          <w:szCs w:val="20"/>
          <w:lang w:val="en-US" w:eastAsia="zh-CN"/>
        </w:rPr>
        <w:t> Cervical cytology of the vaginal cuff is unnecessary when the hysterectomy was for benign indications (not cervical dysplasia or cervical cancer) and when there is no history of abnormal Pap smears. Colon cancer screening (answer B) is generally started at age 50. DEXA scan for osteoporosis screening should be considered in any postmenopausal woman with risk factors, such as having an osteoporosis-related fracture, a family history, or being thin and Caucasian; we do not have enough information to exclude risk factors at this point, and the use of calcium (answer C) does not affect DEXA screening. Pneumococcal vaccine (answer D) is generally given at age 65.</w:t>
      </w:r>
    </w:p>
    <w:p w14:paraId="1366A9FA">
      <w:pPr>
        <w:spacing w:line="360" w:lineRule="auto"/>
        <w:rPr>
          <w:rFonts w:eastAsia="等线"/>
          <w:b/>
          <w:bCs/>
          <w:color w:val="FF0000"/>
          <w:szCs w:val="20"/>
          <w:lang w:val="en-US" w:eastAsia="zh-CN"/>
        </w:rPr>
      </w:pPr>
      <w:r>
        <w:rPr>
          <w:rFonts w:eastAsia="等线"/>
          <w:b/>
          <w:bCs/>
          <w:color w:val="FF0000"/>
          <w:szCs w:val="20"/>
          <w:lang w:val="en-US" w:eastAsia="zh-CN"/>
        </w:rPr>
        <w:t>References</w:t>
      </w:r>
    </w:p>
    <w:p w14:paraId="5729D436">
      <w:pPr>
        <w:spacing w:line="360" w:lineRule="auto"/>
        <w:rPr>
          <w:rFonts w:eastAsia="等线"/>
          <w:szCs w:val="20"/>
          <w:lang w:val="en-US" w:eastAsia="zh-CN"/>
        </w:rPr>
      </w:pPr>
      <w:r>
        <w:rPr>
          <w:rFonts w:eastAsia="等线"/>
          <w:szCs w:val="20"/>
          <w:lang w:val="en-US" w:eastAsia="zh-CN"/>
        </w:rPr>
        <w:t>American College of Cardiology. ASCVD Risk Estimator Plus. </w:t>
      </w:r>
      <w:r>
        <w:fldChar w:fldCharType="begin"/>
      </w:r>
      <w:r>
        <w:instrText xml:space="preserve"> HYPERLINK "http://tools.acc.org/ASCVD-Risk-Estimator-Plus/" \l "!/calculate/estimate/" \t "_blank" </w:instrText>
      </w:r>
      <w:r>
        <w:fldChar w:fldCharType="separate"/>
      </w:r>
      <w:r>
        <w:rPr>
          <w:rStyle w:val="17"/>
          <w:rFonts w:eastAsia="等线"/>
          <w:szCs w:val="20"/>
          <w:lang w:val="en-US" w:eastAsia="zh-CN"/>
        </w:rPr>
        <w:t>http://tools.acc.org/ASCVD-Risk-Estimator-Plus/#!/calculate/estimate/</w:t>
      </w:r>
      <w:r>
        <w:rPr>
          <w:rStyle w:val="17"/>
          <w:rFonts w:eastAsia="等线"/>
          <w:szCs w:val="20"/>
          <w:lang w:val="en-US" w:eastAsia="zh-CN"/>
        </w:rPr>
        <w:fldChar w:fldCharType="end"/>
      </w:r>
      <w:r>
        <w:rPr>
          <w:rFonts w:eastAsia="等线"/>
          <w:szCs w:val="20"/>
          <w:lang w:val="en-US" w:eastAsia="zh-CN"/>
        </w:rPr>
        <w:t>. Accessed May 20, 2020.</w:t>
      </w:r>
    </w:p>
    <w:p w14:paraId="7ABF0F14">
      <w:pPr>
        <w:spacing w:line="360" w:lineRule="auto"/>
        <w:rPr>
          <w:rFonts w:eastAsia="等线"/>
          <w:szCs w:val="20"/>
          <w:lang w:val="en-US" w:eastAsia="zh-CN"/>
        </w:rPr>
      </w:pPr>
      <w:bookmarkStart w:id="107" w:name="casefiles.obgyn6e_cs29rf27"/>
      <w:bookmarkEnd w:id="107"/>
      <w:r>
        <w:rPr>
          <w:rFonts w:eastAsia="等线"/>
          <w:szCs w:val="20"/>
          <w:lang w:val="en-US" w:eastAsia="zh-CN"/>
        </w:rPr>
        <w:t>American College of Obstetricians and Gynecologists. Osteoporosis. </w:t>
      </w:r>
      <w:r>
        <w:rPr>
          <w:rFonts w:eastAsia="等线"/>
          <w:i/>
          <w:iCs/>
          <w:szCs w:val="20"/>
          <w:lang w:val="en-US" w:eastAsia="zh-CN"/>
        </w:rPr>
        <w:t>ACOG Practice Bulletin 129</w:t>
      </w:r>
      <w:r>
        <w:rPr>
          <w:rFonts w:eastAsia="等线"/>
          <w:szCs w:val="20"/>
          <w:lang w:val="en-US" w:eastAsia="zh-CN"/>
        </w:rPr>
        <w:t>. Washington, DC: American College of Obstetricians and Gynecologists; 2012.</w:t>
      </w:r>
    </w:p>
    <w:p w14:paraId="0EB26EF3">
      <w:pPr>
        <w:spacing w:line="360" w:lineRule="auto"/>
        <w:rPr>
          <w:rFonts w:eastAsia="等线"/>
          <w:szCs w:val="20"/>
          <w:lang w:val="en-US" w:eastAsia="zh-CN"/>
        </w:rPr>
      </w:pPr>
      <w:bookmarkStart w:id="108" w:name="casefiles.obgyn6e_cs29rf28"/>
      <w:bookmarkEnd w:id="108"/>
      <w:r>
        <w:rPr>
          <w:rFonts w:eastAsia="等线"/>
          <w:szCs w:val="20"/>
          <w:lang w:val="en-US" w:eastAsia="zh-CN"/>
        </w:rPr>
        <w:t>American College of Obstetricians and Gynecologists. Well-women visit. </w:t>
      </w:r>
      <w:r>
        <w:rPr>
          <w:rFonts w:eastAsia="等线"/>
          <w:i/>
          <w:iCs/>
          <w:szCs w:val="20"/>
          <w:lang w:val="en-US" w:eastAsia="zh-CN"/>
        </w:rPr>
        <w:t>ACOG Committee Opinion 755</w:t>
      </w:r>
      <w:r>
        <w:rPr>
          <w:rFonts w:eastAsia="等线"/>
          <w:szCs w:val="20"/>
          <w:lang w:val="en-US" w:eastAsia="zh-CN"/>
        </w:rPr>
        <w:t>. Washington, DC: American College of Obstetricians and Gynecologists; 2018.</w:t>
      </w:r>
    </w:p>
    <w:p w14:paraId="6E571D57">
      <w:pPr>
        <w:spacing w:line="360" w:lineRule="auto"/>
        <w:rPr>
          <w:rFonts w:eastAsia="等线"/>
          <w:szCs w:val="20"/>
          <w:lang w:val="en-US" w:eastAsia="zh-CN"/>
        </w:rPr>
      </w:pPr>
      <w:bookmarkStart w:id="109" w:name="casefiles.obgyn6e_cs29rf29"/>
      <w:bookmarkEnd w:id="109"/>
      <w:r>
        <w:rPr>
          <w:rFonts w:eastAsia="等线"/>
          <w:szCs w:val="20"/>
          <w:lang w:val="en-US" w:eastAsia="zh-CN"/>
        </w:rPr>
        <w:t>Centers for Disease Control and Prevention. Recommended adult immunization schedule for ages 19 years or older, United States, 2020. </w:t>
      </w:r>
      <w:r>
        <w:fldChar w:fldCharType="begin"/>
      </w:r>
      <w:r>
        <w:instrText xml:space="preserve"> HYPERLINK "https://www.cdc.gov/vaccines/schedules/hcp/imz/adult.html" \t "_blank" </w:instrText>
      </w:r>
      <w:r>
        <w:fldChar w:fldCharType="separate"/>
      </w:r>
      <w:r>
        <w:rPr>
          <w:rStyle w:val="17"/>
          <w:rFonts w:eastAsia="等线"/>
          <w:szCs w:val="20"/>
          <w:lang w:val="en-US" w:eastAsia="zh-CN"/>
        </w:rPr>
        <w:t>https://www.cdc.gov/vaccines/schedules/hcp/imz/adult.html</w:t>
      </w:r>
      <w:r>
        <w:rPr>
          <w:rStyle w:val="17"/>
          <w:rFonts w:eastAsia="等线"/>
          <w:szCs w:val="20"/>
          <w:lang w:val="en-US" w:eastAsia="zh-CN"/>
        </w:rPr>
        <w:fldChar w:fldCharType="end"/>
      </w:r>
      <w:r>
        <w:rPr>
          <w:rFonts w:eastAsia="等线"/>
          <w:szCs w:val="20"/>
          <w:lang w:val="en-US" w:eastAsia="zh-CN"/>
        </w:rPr>
        <w:t>. Accessed May 20, 2020.</w:t>
      </w:r>
    </w:p>
    <w:p w14:paraId="1F0D943C">
      <w:pPr>
        <w:spacing w:line="360" w:lineRule="auto"/>
        <w:rPr>
          <w:rFonts w:eastAsia="等线"/>
          <w:szCs w:val="20"/>
          <w:lang w:val="en-US" w:eastAsia="zh-CN"/>
        </w:rPr>
      </w:pPr>
      <w:bookmarkStart w:id="110" w:name="casefiles.obgyn6e_cs29rf30"/>
      <w:bookmarkEnd w:id="110"/>
      <w:r>
        <w:rPr>
          <w:rFonts w:eastAsia="等线"/>
          <w:szCs w:val="20"/>
          <w:lang w:val="en-US" w:eastAsia="zh-CN"/>
        </w:rPr>
        <w:t>Centers for Disease Control and Prevention. Recommended child and adolescent immunization schedule for age 18 years or younger, United States, 2020. </w:t>
      </w:r>
      <w:r>
        <w:fldChar w:fldCharType="begin"/>
      </w:r>
      <w:r>
        <w:instrText xml:space="preserve"> HYPERLINK "https://www.cdc.gov/vaccines/schedules/hcp/imz/child-adolescent.html" \t "_blank" </w:instrText>
      </w:r>
      <w:r>
        <w:fldChar w:fldCharType="separate"/>
      </w:r>
      <w:r>
        <w:rPr>
          <w:rStyle w:val="17"/>
          <w:rFonts w:eastAsia="等线"/>
          <w:szCs w:val="20"/>
          <w:lang w:val="en-US" w:eastAsia="zh-CN"/>
        </w:rPr>
        <w:t>https://www.cdc.gov/vaccines/schedules/hcp/imz/child-adolescent.html</w:t>
      </w:r>
      <w:r>
        <w:rPr>
          <w:rStyle w:val="17"/>
          <w:rFonts w:eastAsia="等线"/>
          <w:szCs w:val="20"/>
          <w:lang w:val="en-US" w:eastAsia="zh-CN"/>
        </w:rPr>
        <w:fldChar w:fldCharType="end"/>
      </w:r>
      <w:r>
        <w:rPr>
          <w:rFonts w:eastAsia="等线"/>
          <w:szCs w:val="20"/>
          <w:lang w:val="en-US" w:eastAsia="zh-CN"/>
        </w:rPr>
        <w:t>. Accessed May 20, 2020.</w:t>
      </w:r>
    </w:p>
    <w:p w14:paraId="66FC7E90">
      <w:pPr>
        <w:spacing w:line="360" w:lineRule="auto"/>
        <w:rPr>
          <w:rFonts w:eastAsia="等线"/>
          <w:szCs w:val="20"/>
          <w:lang w:val="en-US" w:eastAsia="zh-CN"/>
        </w:rPr>
      </w:pPr>
      <w:bookmarkStart w:id="111" w:name="casefiles.obgyn6e_cs29rf31"/>
      <w:bookmarkEnd w:id="111"/>
      <w:r>
        <w:rPr>
          <w:rFonts w:eastAsia="等线"/>
          <w:szCs w:val="20"/>
          <w:lang w:val="en-US" w:eastAsia="zh-CN"/>
        </w:rPr>
        <w:t>Qaseem  A, Humphrey  LL, Harris  R,  et al. Screening pelvic examination in adult women: a clinical practice guideline from the American College of Physicians. </w:t>
      </w:r>
      <w:r>
        <w:rPr>
          <w:rFonts w:eastAsia="等线"/>
          <w:i/>
          <w:iCs/>
          <w:szCs w:val="20"/>
          <w:lang w:val="en-US" w:eastAsia="zh-CN"/>
        </w:rPr>
        <w:t>Ann Intern Med</w:t>
      </w:r>
      <w:r>
        <w:rPr>
          <w:rFonts w:eastAsia="等线"/>
          <w:szCs w:val="20"/>
          <w:lang w:val="en-US" w:eastAsia="zh-CN"/>
        </w:rPr>
        <w:t>. 2014;161(1):67–71.</w:t>
      </w:r>
    </w:p>
    <w:p w14:paraId="0E8D7D23">
      <w:pPr>
        <w:spacing w:line="360" w:lineRule="auto"/>
        <w:rPr>
          <w:rFonts w:eastAsia="等线"/>
          <w:b/>
          <w:bCs/>
          <w:color w:val="FF0000"/>
          <w:szCs w:val="20"/>
          <w:lang w:val="en-US" w:eastAsia="zh-CN"/>
        </w:rPr>
      </w:pPr>
      <w:r>
        <w:rPr>
          <w:rFonts w:eastAsia="等线"/>
          <w:b/>
          <w:bCs/>
          <w:color w:val="FF0000"/>
          <w:szCs w:val="20"/>
          <w:lang w:val="en-US" w:eastAsia="zh-CN"/>
        </w:rPr>
        <w:t>Works Cited</w:t>
      </w:r>
    </w:p>
    <w:p w14:paraId="650671D1">
      <w:pPr>
        <w:spacing w:line="360" w:lineRule="auto"/>
        <w:rPr>
          <w:rFonts w:eastAsia="等线"/>
          <w:b/>
          <w:bCs/>
          <w:color w:val="FF0000"/>
          <w:szCs w:val="20"/>
          <w:lang w:val="en-US" w:eastAsia="zh-CN"/>
        </w:rPr>
      </w:pPr>
      <w:r>
        <w:rPr>
          <w:rFonts w:eastAsia="等线"/>
          <w:b/>
          <w:bCs/>
          <w:color w:val="FF0000"/>
          <w:szCs w:val="20"/>
          <w:lang w:val="en-US" w:eastAsia="zh-CN"/>
        </w:rPr>
        <w:t>Further Reading</w:t>
      </w:r>
    </w:p>
    <w:p w14:paraId="4349516B">
      <w:pPr>
        <w:spacing w:line="360" w:lineRule="auto"/>
        <w:rPr>
          <w:rFonts w:eastAsia="等线"/>
          <w:b/>
          <w:bCs/>
          <w:color w:val="FF0000"/>
          <w:szCs w:val="20"/>
          <w:lang w:eastAsia="zh-CN"/>
        </w:rPr>
      </w:pPr>
      <w:r>
        <w:rPr>
          <w:rFonts w:eastAsia="等线"/>
          <w:b/>
          <w:bCs/>
          <w:color w:val="FF0000"/>
          <w:szCs w:val="20"/>
          <w:lang w:eastAsia="zh-CN"/>
        </w:rPr>
        <w:t>Author and Acknowledgements</w:t>
      </w:r>
    </w:p>
    <w:p w14:paraId="6EC53E53">
      <w:pPr>
        <w:spacing w:line="360" w:lineRule="auto"/>
        <w:rPr>
          <w:rFonts w:eastAsia="等线"/>
          <w:b/>
          <w:bCs/>
          <w:color w:val="FF0000"/>
          <w:szCs w:val="20"/>
          <w:lang w:eastAsia="zh-CN"/>
        </w:rPr>
      </w:pPr>
      <w:r>
        <w:rPr>
          <w:rFonts w:eastAsia="等线"/>
          <w:b/>
          <w:bCs/>
          <w:color w:val="FF0000"/>
          <w:szCs w:val="20"/>
          <w:lang w:eastAsia="zh-CN"/>
        </w:rPr>
        <w:t>About the Author</w:t>
      </w:r>
    </w:p>
    <w:p w14:paraId="1FF4E8CC">
      <w:pPr>
        <w:spacing w:line="360" w:lineRule="auto"/>
        <w:rPr>
          <w:rFonts w:eastAsia="等线"/>
          <w:b/>
          <w:bCs/>
          <w:color w:val="FF0000"/>
          <w:szCs w:val="20"/>
          <w:lang w:eastAsia="zh-CN"/>
        </w:rPr>
      </w:pPr>
      <w:r>
        <w:rPr>
          <w:rFonts w:eastAsia="等线"/>
          <w:b/>
          <w:bCs/>
          <w:color w:val="FF0000"/>
          <w:szCs w:val="20"/>
          <w:lang w:eastAsia="zh-CN"/>
        </w:rPr>
        <w:t>Acknowledgements</w:t>
      </w:r>
    </w:p>
    <w:p w14:paraId="0C997862">
      <w:pPr>
        <w:spacing w:line="360" w:lineRule="auto"/>
        <w:rPr>
          <w:rFonts w:eastAsia="等线"/>
          <w:szCs w:val="20"/>
          <w:lang w:eastAsia="zh-CN"/>
        </w:rPr>
      </w:pPr>
      <w:r>
        <w:rPr>
          <w:rFonts w:eastAsia="等线"/>
          <w:szCs w:val="20"/>
          <w:lang w:eastAsia="zh-CN"/>
        </w:rPr>
        <w:t>The curriculum that evolved into the ideas for this series was inspired by two talented and forthright students, Philbert Yao and Chuck Rosipal, who have since graduated from medical school. It is also a privilege to work with Dr. Ross, who has been a steady hand in administrating the medical student clerkship for many years and continues to be a remarkable teacher. In addition, I am awed by the many excellent contributors who continue to work under the deadlines and pleas of perfectionists. I am greatly indebted to my editor, Bob Boehringer, Madison Tucky, and Christina Thomas whose diligence and support have helped to improve this series. I appreciate McGraw Hill’s believing in the concept of teaching through clinical cases. I am also grateful to Catherine Saggese for her excellent production expertise. At McGovern Medical School (UTHealth) at Houston, I appreciate the support of my chairman, Dr. Sean Blackwell, who is an amazing leader with a brilliant intellect, an unparalleled work ethic, and a generous heart that inspires beyond our department; and Dr. Patricia Butler, who as Vice Chair for Educational Programs of our school exemplifies all that is excellent in medical education and has served as a role model and mentor for me. I want to acknowledge the many medical students who have helped to sharpen the focus of this book, provided critiques, and identified those pesky grammar and explanatory errors, especially Sarah Hoopes, who served to review the content and compare it to national educational guidelines and served as principal content reviewer. Sarah would like to acknowledge all her family, friends, and professors who have encouraged her and made it possible to question, read, and explore the world. Of course, the electrical impulses on neurons could not have made it to words, phrases, and meaningful concepts without my ever-reliable, incredibly talented daughter Allison, who has risen to wizard status of medical writing and editing. Most of all, I appreciate my loving wife, Terri, and my four wonderful children, Andy and his wife Anna, Michael and his wife Nadine, Allison, and Christina and her husband Andy, for their patience and understanding.</w:t>
      </w:r>
    </w:p>
    <w:p w14:paraId="19D23F49">
      <w:pPr>
        <w:rPr>
          <w:rFonts w:eastAsia="等线"/>
          <w:szCs w:val="20"/>
          <w:lang w:eastAsia="zh-CN"/>
        </w:rPr>
      </w:pPr>
      <w:r>
        <w:rPr>
          <w:rFonts w:eastAsia="等线"/>
          <w:szCs w:val="20"/>
          <w:lang w:eastAsia="zh-CN"/>
        </w:rPr>
        <w:br w:type="page"/>
      </w:r>
    </w:p>
    <w:p w14:paraId="4BF953C8">
      <w:pPr>
        <w:numPr>
          <w:ilvl w:val="0"/>
          <w:numId w:val="7"/>
        </w:numPr>
        <w:ind w:left="420" w:leftChars="0" w:hanging="420" w:firstLineChars="0"/>
        <w:outlineLvl w:val="0"/>
        <w:rPr>
          <w:rFonts w:hint="default" w:eastAsia="等线"/>
          <w:b/>
          <w:bCs/>
          <w:sz w:val="32"/>
          <w:szCs w:val="36"/>
          <w:lang w:val="en-US" w:eastAsia="zh-CN"/>
        </w:rPr>
      </w:pPr>
      <w:r>
        <w:rPr>
          <w:rFonts w:hint="eastAsia" w:eastAsia="等线"/>
          <w:b/>
          <w:bCs/>
          <w:sz w:val="32"/>
          <w:szCs w:val="36"/>
          <w:lang w:val="en-US" w:eastAsia="zh-CN"/>
        </w:rPr>
        <w:t>儿科学样例</w:t>
      </w:r>
    </w:p>
    <w:p w14:paraId="5562F150">
      <w:pPr>
        <w:spacing w:line="360" w:lineRule="auto"/>
        <w:rPr>
          <w:rFonts w:eastAsia="等线"/>
          <w:b/>
          <w:bCs/>
          <w:sz w:val="32"/>
          <w:szCs w:val="32"/>
          <w:lang w:val="en-US" w:eastAsia="zh-CN"/>
        </w:rPr>
      </w:pPr>
      <w:r>
        <w:rPr>
          <w:rFonts w:eastAsia="等线"/>
          <w:b/>
          <w:bCs/>
          <w:sz w:val="32"/>
          <w:szCs w:val="32"/>
          <w:lang w:val="en-US" w:eastAsia="zh-CN"/>
        </w:rPr>
        <w:t>Pediatrics</w:t>
      </w:r>
    </w:p>
    <w:p w14:paraId="7123D5AB">
      <w:pPr>
        <w:spacing w:line="360" w:lineRule="auto"/>
        <w:rPr>
          <w:rFonts w:eastAsia="等线"/>
          <w:b/>
          <w:bCs/>
          <w:sz w:val="28"/>
          <w:szCs w:val="28"/>
          <w:lang w:val="en-US" w:eastAsia="zh-CN"/>
        </w:rPr>
      </w:pPr>
      <w:r>
        <w:rPr>
          <w:rFonts w:eastAsia="等线"/>
          <w:b/>
          <w:bCs/>
          <w:sz w:val="28"/>
          <w:szCs w:val="28"/>
          <w:lang w:val="en-US" w:eastAsia="zh-CN"/>
        </w:rPr>
        <w:t>Pediatric Psychiatry &gt; Attention Deficit Hyperactivity Disorder</w:t>
      </w:r>
    </w:p>
    <w:p w14:paraId="36A68769">
      <w:pPr>
        <w:pStyle w:val="10"/>
      </w:pPr>
      <w:r>
        <w:t xml:space="preserve">Author(s) </w:t>
      </w:r>
      <w:r>
        <w:rPr>
          <w:b w:val="0"/>
          <w:bCs/>
          <w:i/>
          <w:iCs/>
          <w:highlight w:val="lightGray"/>
        </w:rPr>
        <w:t>(how it should appear online, in the order given/middle/family name)</w:t>
      </w:r>
      <w:r>
        <w:t>: Eugene C. Toy; Mark D. Hormann; Robert J. Yetman; Margaret C. McNeese; Sheela L. Lahoti; Emma A. Omoruyi; Abby M. Geltemeyer</w:t>
      </w:r>
    </w:p>
    <w:p w14:paraId="2DA5961F">
      <w:pPr>
        <w:pStyle w:val="10"/>
      </w:pPr>
      <w:r>
        <w:t xml:space="preserve">Region: </w:t>
      </w:r>
      <w:sdt>
        <w:sdtPr>
          <w:id w:val="1073708451"/>
          <w:placeholder>
            <w:docPart w:val="02735579B72C481BA38C4F76AD7AF64F"/>
          </w:placeholder>
          <w:dropDownList>
            <w:listItem w:displayText="Australia/New Zealand" w:value="Australia/New Zealand"/>
            <w:listItem w:displayText="Colombia" w:value="Colombia"/>
            <w:listItem w:displayText="Egypt" w:value="Egypt"/>
            <w:listItem w:displayText="India" w:value="India"/>
            <w:listItem w:displayText="Indonesia" w:value="Indonesia"/>
            <w:listItem w:displayText="Lebanon" w:value="Lebanon"/>
            <w:listItem w:displayText="Mexico" w:value="Mexico"/>
            <w:listItem w:displayText="Middle East" w:value="Middle East"/>
            <w:listItem w:displayText="Saudi Arabia" w:value="Saudi Arabia"/>
            <w:listItem w:displayText="South Africa" w:value="South Africa"/>
            <w:listItem w:displayText="Southeast Asia" w:value="Southeast Asia"/>
            <w:listItem w:displayText="United Kingdom" w:value="United Kingdom"/>
          </w:dropDownList>
        </w:sdtPr>
        <w:sdtContent>
          <w:r>
            <w:t>United Kingdom</w:t>
          </w:r>
        </w:sdtContent>
      </w:sdt>
    </w:p>
    <w:p w14:paraId="447CE7F9">
      <w:pPr>
        <w:pStyle w:val="10"/>
      </w:pPr>
      <w:r>
        <w:rPr>
          <w:highlight w:val="lightGray"/>
        </w:rPr>
        <w:t>Illness/disease:</w:t>
      </w:r>
      <w:r>
        <w:t xml:space="preserve"> Attention Deficit Hyperactivity Disorder</w:t>
      </w:r>
    </w:p>
    <w:p w14:paraId="06DC0497">
      <w:pPr>
        <w:pStyle w:val="10"/>
      </w:pPr>
      <w:r>
        <w:t xml:space="preserve">Topic: </w:t>
      </w:r>
      <w:sdt>
        <w:sdtPr>
          <w:id w:val="730579354"/>
          <w:placeholder>
            <w:docPart w:val="FC47442AC884444AA48C265C36D31169"/>
          </w:placeholder>
          <w:dropDownList>
            <w:listItem w:displayText="Anaesthesia" w:value="Anaesthesia"/>
            <w:listItem w:displayText="Cardiovascular System" w:value="Cardiovascular System"/>
            <w:listItem w:displayText="Dermatology" w:value="Dermatology"/>
            <w:listItem w:displayText="Developmental Disorders" w:value="Developmental Disorders"/>
            <w:listItem w:displayText="Ears, Nose and Throat" w:value="Ears, Nose and Throat"/>
            <w:listItem w:displayText="Endocrine System and Metabolism" w:value="Endocrine System and Metabolism"/>
            <w:listItem w:displayText="Gastrointestinal System" w:value="Gastrointestinal System"/>
            <w:listItem w:displayText="Genitourinary System" w:value="Genitourinary System"/>
            <w:listItem w:displayText="Geriatrics" w:value="Geriatrics"/>
            <w:listItem w:displayText="Haematology" w:value="Haematology"/>
            <w:listItem w:displayText="Immune System" w:value="Immune System"/>
            <w:listItem w:displayText="Infectious Diseases" w:value="Infectious Diseases"/>
            <w:listItem w:displayText="Mental Health" w:value="Mental Health"/>
            <w:listItem w:displayText="Musculoskeletal System" w:value="Musculoskeletal System"/>
            <w:listItem w:displayText="Nervous System" w:value="Nervous System"/>
            <w:listItem w:displayText="Obstetrics and Gynaecology" w:value="Obstetrics and Gynaecology"/>
            <w:listItem w:displayText="Occupational Medicine" w:value="Occupational Medicine"/>
            <w:listItem w:displayText="Oncology" w:value="Oncology"/>
            <w:listItem w:displayText="Ophthalmology" w:value="Ophthalmology"/>
            <w:listItem w:displayText="Palliative Care" w:value="Palliative Care"/>
            <w:listItem w:displayText="Pharmacology" w:value="Pharmacology"/>
            <w:listItem w:displayText="Preventive Health" w:value="Preventive Health"/>
            <w:listItem w:displayText="Respiratory System" w:value="Respiratory System"/>
            <w:listItem w:displayText="Toxicology and Toxinology" w:value="Toxicology and Toxinology"/>
            <w:listItem w:displayText="Trauma and Environmental Health" w:value="Trauma and Environmental Health"/>
            <w:listItem w:displayText="Travel Medicine" w:value="Travel Medicine"/>
          </w:dropDownList>
        </w:sdtPr>
        <w:sdtContent>
          <w:r>
            <w:t>Mental Health</w:t>
          </w:r>
        </w:sdtContent>
      </w:sdt>
    </w:p>
    <w:p w14:paraId="41A8D31F">
      <w:pPr>
        <w:pStyle w:val="10"/>
      </w:pPr>
      <w:r>
        <w:t xml:space="preserve">Setting: </w:t>
      </w:r>
      <w:sdt>
        <w:sdtPr>
          <w:id w:val="-1897352069"/>
          <w:placeholder>
            <w:docPart w:val="57177C9282674F7B9551B24362C7AC9D"/>
          </w:placeholder>
          <w:dropDownList>
            <w:listItem w:displayText="Emergency Care" w:value="Emergency Care"/>
            <w:listItem w:displayText="Primary Care" w:value="Primary Care"/>
            <w:listItem w:displayText="Secondary Care" w:value="Secondary Care"/>
          </w:dropDownList>
        </w:sdtPr>
        <w:sdtContent>
          <w:r>
            <w:t>Primary Care</w:t>
          </w:r>
        </w:sdtContent>
      </w:sdt>
    </w:p>
    <w:p w14:paraId="04B823EF">
      <w:pPr>
        <w:pStyle w:val="10"/>
      </w:pPr>
      <w:r>
        <w:t xml:space="preserve">Patient Age: </w:t>
      </w:r>
      <w:sdt>
        <w:sdtPr>
          <w:id w:val="1141928422"/>
          <w:placeholder>
            <w:docPart w:val="57177C9282674F7B9551B24362C7AC9D"/>
          </w:placeholder>
          <w:dropDownList>
            <w:listItem w:displayText="Child (&lt;18 years)" w:value="Child (&lt;18 years)"/>
            <w:listItem w:displayText="Adult (18+ years)" w:value="Adult (18+ years)"/>
          </w:dropDownList>
        </w:sdtPr>
        <w:sdtContent>
          <w:r>
            <w:t>Adult (18+ years)</w:t>
          </w:r>
        </w:sdtContent>
      </w:sdt>
    </w:p>
    <w:p w14:paraId="274728DF">
      <w:pPr>
        <w:pStyle w:val="10"/>
        <w:spacing w:line="240" w:lineRule="auto"/>
      </w:pPr>
      <w:r>
        <w:t xml:space="preserve">Level: </w:t>
      </w:r>
      <w:sdt>
        <w:sdtPr>
          <w:id w:val="-379777876"/>
          <w:placeholder>
            <w:docPart w:val="6A0B384322544AF4B17AD42262620276"/>
          </w:placeholder>
          <w:dropDownList>
            <w:listItem w:displayText="Medical Students" w:value="Medical Students"/>
            <w:listItem w:displayText="Junior Doctors" w:value="Junior Doctors"/>
            <w:listItem w:displayText="Qualified Practitioners" w:value="Qualified Practitioners"/>
          </w:dropDownList>
        </w:sdtPr>
        <w:sdtContent>
          <w:r>
            <w:t>Medical Students</w:t>
          </w:r>
        </w:sdtContent>
      </w:sdt>
    </w:p>
    <w:p w14:paraId="2E4A25BB">
      <w:pPr>
        <w:spacing w:line="360" w:lineRule="auto"/>
        <w:rPr>
          <w:rFonts w:eastAsia="等线"/>
          <w:szCs w:val="20"/>
          <w:lang w:val="en-US" w:eastAsia="zh-CN"/>
        </w:rPr>
      </w:pPr>
      <w:r>
        <w:rPr>
          <w:rFonts w:eastAsia="等线"/>
          <w:szCs w:val="20"/>
          <w:lang w:val="en-US" w:eastAsia="zh-CN"/>
        </w:rPr>
        <w:t>The mother of a healthy 8-year-old boy is concerned about his school performance. At his most recent parent–teacher conference, his teacher noted that he is easily distracted, has a difficult time waiting for his turn, and routinely fails to complete homework assignments and classroom papers. His mother states that he also has difficulty in completing tasks at home, and he fidgets constantly. Although the child is very talkative, he does not answer questions clearly. His physical examination is significant only for fidgeting.</w:t>
      </w:r>
    </w:p>
    <w:p w14:paraId="6D9633FF">
      <w:pPr>
        <w:spacing w:line="360" w:lineRule="auto"/>
        <w:rPr>
          <w:rFonts w:eastAsia="等线"/>
          <w:b/>
          <w:bCs/>
          <w:color w:val="FF0000"/>
          <w:szCs w:val="20"/>
          <w:lang w:val="en-US" w:eastAsia="zh-CN"/>
        </w:rPr>
      </w:pPr>
      <w:r>
        <w:rPr>
          <w:rFonts w:eastAsia="等线"/>
          <w:b/>
          <w:bCs/>
          <w:color w:val="FF0000"/>
          <w:szCs w:val="20"/>
          <w:lang w:val="en-US" w:eastAsia="zh-CN"/>
        </w:rPr>
        <w:t>Questions</w:t>
      </w:r>
    </w:p>
    <w:p w14:paraId="12975079">
      <w:pPr>
        <w:spacing w:line="360" w:lineRule="auto"/>
        <w:rPr>
          <w:rFonts w:eastAsia="等线"/>
          <w:b/>
          <w:bCs/>
          <w:szCs w:val="20"/>
          <w:lang w:val="en-US" w:eastAsia="zh-CN"/>
        </w:rPr>
      </w:pPr>
      <w:bookmarkStart w:id="112" w:name="261792063"/>
      <w:bookmarkEnd w:id="112"/>
      <w:r>
        <w:rPr>
          <w:rFonts w:eastAsia="等线"/>
          <w:b/>
          <w:bCs/>
          <w:szCs w:val="20"/>
          <w:lang w:val="en-US" w:eastAsia="zh-CN"/>
        </w:rPr>
        <w:t>What is the most likely diagnosis?</w:t>
      </w:r>
    </w:p>
    <w:p w14:paraId="51F6F158">
      <w:pPr>
        <w:spacing w:line="360" w:lineRule="auto"/>
        <w:rPr>
          <w:rFonts w:eastAsia="等线"/>
          <w:b/>
          <w:bCs/>
          <w:szCs w:val="20"/>
          <w:lang w:val="en-US" w:eastAsia="zh-CN"/>
        </w:rPr>
      </w:pPr>
      <w:bookmarkStart w:id="113" w:name="261792066"/>
      <w:bookmarkEnd w:id="113"/>
      <w:r>
        <w:rPr>
          <w:rFonts w:eastAsia="等线"/>
          <w:b/>
          <w:bCs/>
          <w:szCs w:val="20"/>
          <w:lang w:val="en-US" w:eastAsia="zh-CN"/>
        </w:rPr>
        <w:t>What is the next step in management?</w:t>
      </w:r>
    </w:p>
    <w:p w14:paraId="5CD71E4C">
      <w:pPr>
        <w:spacing w:line="360" w:lineRule="auto"/>
        <w:rPr>
          <w:rFonts w:eastAsia="等线"/>
          <w:b/>
          <w:bCs/>
          <w:color w:val="FF0000"/>
          <w:szCs w:val="20"/>
          <w:lang w:val="en-US" w:eastAsia="zh-CN"/>
        </w:rPr>
      </w:pPr>
      <w:r>
        <w:rPr>
          <w:rFonts w:eastAsia="等线"/>
          <w:b/>
          <w:bCs/>
          <w:color w:val="FF0000"/>
          <w:szCs w:val="20"/>
          <w:lang w:val="en-US" w:eastAsia="zh-CN"/>
        </w:rPr>
        <w:t xml:space="preserve">Answers </w:t>
      </w:r>
    </w:p>
    <w:p w14:paraId="4A788006">
      <w:pPr>
        <w:spacing w:line="360" w:lineRule="auto"/>
        <w:rPr>
          <w:rFonts w:eastAsia="等线"/>
          <w:szCs w:val="20"/>
          <w:lang w:val="en-US" w:eastAsia="zh-CN"/>
        </w:rPr>
      </w:pPr>
      <w:r>
        <w:rPr>
          <w:rFonts w:eastAsia="等线"/>
          <w:szCs w:val="20"/>
          <w:lang w:val="en-US" w:eastAsia="zh-CN"/>
        </w:rPr>
        <w:t>Answers to Case 59: Attention Deficit Hyperactivity Disorder</w:t>
      </w:r>
    </w:p>
    <w:p w14:paraId="0BD4457E">
      <w:pPr>
        <w:spacing w:line="360" w:lineRule="auto"/>
        <w:rPr>
          <w:rFonts w:eastAsia="等线"/>
          <w:szCs w:val="20"/>
          <w:lang w:val="en-US" w:eastAsia="zh-CN"/>
        </w:rPr>
      </w:pPr>
      <w:bookmarkStart w:id="114" w:name="261792069"/>
      <w:bookmarkEnd w:id="114"/>
      <w:r>
        <w:rPr>
          <w:rFonts w:eastAsia="等线"/>
          <w:b/>
          <w:bCs/>
          <w:szCs w:val="20"/>
          <w:lang w:val="en-US" w:eastAsia="zh-CN"/>
        </w:rPr>
        <w:t>Summary:</w:t>
      </w:r>
      <w:r>
        <w:rPr>
          <w:rFonts w:eastAsia="等线"/>
          <w:szCs w:val="20"/>
          <w:lang w:val="en-US" w:eastAsia="zh-CN"/>
        </w:rPr>
        <w:t> An 8-year-old boy presents with</w:t>
      </w:r>
    </w:p>
    <w:p w14:paraId="697AA80C">
      <w:pPr>
        <w:numPr>
          <w:ilvl w:val="0"/>
          <w:numId w:val="36"/>
        </w:numPr>
        <w:spacing w:line="360" w:lineRule="auto"/>
        <w:rPr>
          <w:rFonts w:eastAsia="等线"/>
          <w:szCs w:val="20"/>
          <w:lang w:val="en-US" w:eastAsia="zh-CN"/>
        </w:rPr>
      </w:pPr>
      <w:bookmarkStart w:id="115" w:name="261792070"/>
      <w:bookmarkEnd w:id="115"/>
      <w:r>
        <w:rPr>
          <w:rFonts w:eastAsia="等线"/>
          <w:szCs w:val="20"/>
          <w:lang w:val="en-US" w:eastAsia="zh-CN"/>
        </w:rPr>
        <w:t>Easily distractibility, hyperkinesia, and impulsiveness</w:t>
      </w:r>
    </w:p>
    <w:p w14:paraId="218DB3D2">
      <w:pPr>
        <w:numPr>
          <w:ilvl w:val="0"/>
          <w:numId w:val="36"/>
        </w:numPr>
        <w:spacing w:line="360" w:lineRule="auto"/>
        <w:rPr>
          <w:rFonts w:eastAsia="等线"/>
          <w:szCs w:val="20"/>
          <w:lang w:val="en-US" w:eastAsia="zh-CN"/>
        </w:rPr>
      </w:pPr>
      <w:r>
        <w:rPr>
          <w:rFonts w:eastAsia="等线"/>
          <w:szCs w:val="20"/>
          <w:lang w:val="en-US" w:eastAsia="zh-CN"/>
        </w:rPr>
        <w:t>Inability to complete school work or stay on task at home</w:t>
      </w:r>
    </w:p>
    <w:p w14:paraId="54384280">
      <w:pPr>
        <w:numPr>
          <w:ilvl w:val="0"/>
          <w:numId w:val="36"/>
        </w:numPr>
        <w:spacing w:line="360" w:lineRule="auto"/>
        <w:rPr>
          <w:rFonts w:eastAsia="等线"/>
          <w:szCs w:val="20"/>
          <w:lang w:val="en-US" w:eastAsia="zh-CN"/>
        </w:rPr>
      </w:pPr>
      <w:r>
        <w:rPr>
          <w:rFonts w:eastAsia="等线"/>
          <w:szCs w:val="20"/>
          <w:lang w:val="en-US" w:eastAsia="zh-CN"/>
        </w:rPr>
        <w:t>Normal physical exam except for fidgeting</w:t>
      </w:r>
    </w:p>
    <w:p w14:paraId="0D5BFFB8">
      <w:pPr>
        <w:spacing w:line="360" w:lineRule="auto"/>
        <w:rPr>
          <w:rFonts w:eastAsia="等线"/>
          <w:szCs w:val="20"/>
          <w:lang w:val="en-US" w:eastAsia="zh-CN"/>
        </w:rPr>
      </w:pPr>
      <w:bookmarkStart w:id="116" w:name="261792071"/>
      <w:bookmarkEnd w:id="116"/>
      <w:r>
        <w:rPr>
          <w:rFonts w:eastAsia="等线"/>
          <w:b/>
          <w:bCs/>
          <w:szCs w:val="20"/>
          <w:lang w:val="en-US" w:eastAsia="zh-CN"/>
        </w:rPr>
        <w:t>Most likely diagnosis:</w:t>
      </w:r>
      <w:r>
        <w:rPr>
          <w:rFonts w:eastAsia="等线"/>
          <w:szCs w:val="20"/>
          <w:lang w:val="en-US" w:eastAsia="zh-CN"/>
        </w:rPr>
        <w:t> Attention deficit hyperactivity disorder (ADHD).</w:t>
      </w:r>
    </w:p>
    <w:p w14:paraId="1D6DF9CE">
      <w:pPr>
        <w:spacing w:line="360" w:lineRule="auto"/>
        <w:rPr>
          <w:rFonts w:eastAsia="等线"/>
          <w:szCs w:val="20"/>
          <w:lang w:val="en-US" w:eastAsia="zh-CN"/>
        </w:rPr>
      </w:pPr>
      <w:bookmarkStart w:id="117" w:name="261792072"/>
      <w:bookmarkEnd w:id="117"/>
      <w:r>
        <w:rPr>
          <w:rFonts w:eastAsia="等线"/>
          <w:b/>
          <w:bCs/>
          <w:szCs w:val="20"/>
          <w:lang w:val="en-US" w:eastAsia="zh-CN"/>
        </w:rPr>
        <w:t>Next step in management:</w:t>
      </w:r>
      <w:r>
        <w:rPr>
          <w:rFonts w:eastAsia="等线"/>
          <w:szCs w:val="20"/>
          <w:lang w:val="en-US" w:eastAsia="zh-CN"/>
        </w:rPr>
        <w:t> An ADHD evaluation, which includes information regarding his behavior obtained from both the caregiver and the classroom teacher.</w:t>
      </w:r>
    </w:p>
    <w:p w14:paraId="1F152403">
      <w:pPr>
        <w:spacing w:line="360" w:lineRule="auto"/>
        <w:rPr>
          <w:rFonts w:eastAsia="等线"/>
          <w:b/>
          <w:bCs/>
          <w:szCs w:val="20"/>
          <w:lang w:val="en-US" w:eastAsia="zh-CN"/>
        </w:rPr>
      </w:pPr>
      <w:bookmarkStart w:id="118" w:name="261792073"/>
      <w:bookmarkEnd w:id="118"/>
      <w:r>
        <w:rPr>
          <w:rFonts w:eastAsia="等线"/>
          <w:b/>
          <w:bCs/>
          <w:szCs w:val="20"/>
          <w:lang w:val="en-US" w:eastAsia="zh-CN"/>
        </w:rPr>
        <w:t>Analysis</w:t>
      </w:r>
    </w:p>
    <w:p w14:paraId="09134835">
      <w:pPr>
        <w:spacing w:line="360" w:lineRule="auto"/>
        <w:rPr>
          <w:rFonts w:eastAsia="等线"/>
          <w:szCs w:val="20"/>
          <w:lang w:val="en-US" w:eastAsia="zh-CN"/>
        </w:rPr>
      </w:pPr>
      <w:bookmarkStart w:id="119" w:name="261792074"/>
      <w:bookmarkEnd w:id="119"/>
      <w:r>
        <w:rPr>
          <w:rFonts w:eastAsia="等线"/>
          <w:i/>
          <w:iCs/>
          <w:szCs w:val="20"/>
          <w:lang w:val="en-US" w:eastAsia="zh-CN"/>
        </w:rPr>
        <w:t>Objectives</w:t>
      </w:r>
    </w:p>
    <w:p w14:paraId="43C5C6CF">
      <w:pPr>
        <w:numPr>
          <w:ilvl w:val="0"/>
          <w:numId w:val="37"/>
        </w:numPr>
        <w:spacing w:line="360" w:lineRule="auto"/>
        <w:rPr>
          <w:rFonts w:eastAsia="等线"/>
          <w:szCs w:val="20"/>
          <w:lang w:val="en-US" w:eastAsia="zh-CN"/>
        </w:rPr>
      </w:pPr>
      <w:bookmarkStart w:id="120" w:name="261792075"/>
      <w:bookmarkEnd w:id="120"/>
      <w:r>
        <w:rPr>
          <w:rFonts w:eastAsia="等线"/>
          <w:szCs w:val="20"/>
          <w:lang w:val="en-US" w:eastAsia="zh-CN"/>
        </w:rPr>
        <w:t>Describe the clinical criteria for ADHD. (EPA 1, 2)</w:t>
      </w:r>
    </w:p>
    <w:p w14:paraId="1568DDD3">
      <w:pPr>
        <w:numPr>
          <w:ilvl w:val="0"/>
          <w:numId w:val="37"/>
        </w:numPr>
        <w:spacing w:line="360" w:lineRule="auto"/>
        <w:rPr>
          <w:rFonts w:eastAsia="等线"/>
          <w:szCs w:val="20"/>
          <w:lang w:val="en-US" w:eastAsia="zh-CN"/>
        </w:rPr>
      </w:pPr>
      <w:r>
        <w:rPr>
          <w:rFonts w:eastAsia="等线"/>
          <w:szCs w:val="20"/>
          <w:lang w:val="en-US" w:eastAsia="zh-CN"/>
        </w:rPr>
        <w:t>Apply the principles of the basic evaluation in a child with symptoms of ADHD. (EPA 1, 3)</w:t>
      </w:r>
    </w:p>
    <w:p w14:paraId="7312AD55">
      <w:pPr>
        <w:numPr>
          <w:ilvl w:val="0"/>
          <w:numId w:val="37"/>
        </w:numPr>
        <w:spacing w:line="360" w:lineRule="auto"/>
        <w:rPr>
          <w:rFonts w:eastAsia="等线"/>
          <w:szCs w:val="20"/>
          <w:lang w:val="en-US" w:eastAsia="zh-CN"/>
        </w:rPr>
      </w:pPr>
      <w:r>
        <w:rPr>
          <w:rFonts w:eastAsia="等线"/>
          <w:szCs w:val="20"/>
          <w:lang w:val="en-US" w:eastAsia="zh-CN"/>
        </w:rPr>
        <w:t>Verbalize the various treatment options available for this condition. (EPA 4)</w:t>
      </w:r>
    </w:p>
    <w:p w14:paraId="2E90933C">
      <w:pPr>
        <w:spacing w:line="360" w:lineRule="auto"/>
        <w:rPr>
          <w:rFonts w:eastAsia="等线"/>
          <w:b/>
          <w:bCs/>
          <w:szCs w:val="20"/>
          <w:lang w:val="en-US" w:eastAsia="zh-CN"/>
        </w:rPr>
      </w:pPr>
      <w:bookmarkStart w:id="121" w:name="261792076"/>
      <w:bookmarkEnd w:id="121"/>
      <w:r>
        <w:rPr>
          <w:rFonts w:eastAsia="等线"/>
          <w:b/>
          <w:bCs/>
          <w:szCs w:val="20"/>
          <w:lang w:val="en-US" w:eastAsia="zh-CN"/>
        </w:rPr>
        <w:t>Considerations</w:t>
      </w:r>
    </w:p>
    <w:p w14:paraId="7B6D3A49">
      <w:pPr>
        <w:spacing w:line="360" w:lineRule="auto"/>
        <w:rPr>
          <w:rFonts w:eastAsia="等线"/>
          <w:szCs w:val="20"/>
          <w:lang w:val="en-US" w:eastAsia="zh-CN"/>
        </w:rPr>
      </w:pPr>
      <w:bookmarkStart w:id="122" w:name="261792077"/>
      <w:bookmarkEnd w:id="122"/>
      <w:r>
        <w:rPr>
          <w:rFonts w:eastAsia="等线"/>
          <w:szCs w:val="20"/>
          <w:lang w:val="en-US" w:eastAsia="zh-CN"/>
        </w:rPr>
        <w:t>This boy exhibits ADHD behaviors, including easy distractibility, inability to focus and complete tasks, impulsivity, and excessive fidgeting. The next step is a complete ADHD evaluation. If data suggest ADHD, he should undergo developmental and psychological evaluations for coexisting psychiatric conditions or learning disability. Target outcomes can then be identified, and a treatment plan consisting of behavioral therapy, classroom modification, and possibly medication treatment can be designed.</w:t>
      </w:r>
    </w:p>
    <w:p w14:paraId="29AB230C">
      <w:pPr>
        <w:spacing w:line="360" w:lineRule="auto"/>
        <w:rPr>
          <w:rFonts w:eastAsia="等线"/>
          <w:b/>
          <w:bCs/>
          <w:color w:val="FF0000"/>
          <w:szCs w:val="20"/>
          <w:lang w:val="en-US" w:eastAsia="zh-CN"/>
        </w:rPr>
      </w:pPr>
      <w:r>
        <w:rPr>
          <w:rFonts w:eastAsia="等线"/>
          <w:b/>
          <w:bCs/>
          <w:color w:val="FF0000"/>
          <w:szCs w:val="20"/>
          <w:lang w:val="en-US" w:eastAsia="zh-CN"/>
        </w:rPr>
        <w:t>Clinical Approach</w:t>
      </w:r>
    </w:p>
    <w:p w14:paraId="3A171FE3">
      <w:pPr>
        <w:spacing w:line="360" w:lineRule="auto"/>
        <w:rPr>
          <w:rFonts w:eastAsia="等线"/>
          <w:b/>
          <w:bCs/>
          <w:szCs w:val="20"/>
          <w:lang w:val="en-US" w:eastAsia="zh-CN"/>
        </w:rPr>
      </w:pPr>
      <w:r>
        <w:rPr>
          <w:rFonts w:eastAsia="等线"/>
          <w:b/>
          <w:bCs/>
          <w:szCs w:val="20"/>
          <w:lang w:val="en-US" w:eastAsia="zh-CN"/>
        </w:rPr>
        <w:t>Definition</w:t>
      </w:r>
    </w:p>
    <w:p w14:paraId="242F1398">
      <w:pPr>
        <w:numPr>
          <w:ilvl w:val="0"/>
          <w:numId w:val="38"/>
        </w:numPr>
        <w:spacing w:line="360" w:lineRule="auto"/>
        <w:rPr>
          <w:rFonts w:eastAsia="等线"/>
          <w:szCs w:val="20"/>
          <w:lang w:val="en-US" w:eastAsia="zh-CN"/>
        </w:rPr>
      </w:pPr>
      <w:bookmarkStart w:id="123" w:name="259869653"/>
      <w:bookmarkEnd w:id="123"/>
      <w:bookmarkStart w:id="124" w:name="259869654"/>
      <w:bookmarkEnd w:id="124"/>
      <w:r>
        <w:rPr>
          <w:rFonts w:eastAsia="等线"/>
          <w:b/>
          <w:bCs/>
          <w:szCs w:val="20"/>
          <w:lang w:val="en-US" w:eastAsia="zh-CN"/>
        </w:rPr>
        <w:t>ATTENTION DEFICIT HYPERACTIVITY DISORDER (ADHD):</w:t>
      </w:r>
      <w:r>
        <w:rPr>
          <w:rFonts w:eastAsia="等线"/>
          <w:szCs w:val="20"/>
          <w:lang w:val="en-US" w:eastAsia="zh-CN"/>
        </w:rPr>
        <w:t> A condition with a persistent pattern of inattention and/or hyperactivity-impulsivity that interferes with the patient’s functioning or development and is present in two or more settings (eg, at school and at home).</w:t>
      </w:r>
    </w:p>
    <w:p w14:paraId="3D0F76AD">
      <w:pPr>
        <w:spacing w:line="360" w:lineRule="auto"/>
        <w:rPr>
          <w:rFonts w:eastAsia="等线"/>
          <w:b/>
          <w:bCs/>
          <w:szCs w:val="20"/>
          <w:lang w:val="en-US" w:eastAsia="zh-CN"/>
        </w:rPr>
      </w:pPr>
      <w:r>
        <w:rPr>
          <w:rFonts w:eastAsia="等线"/>
          <w:b/>
          <w:bCs/>
          <w:szCs w:val="20"/>
          <w:lang w:val="en-US" w:eastAsia="zh-CN"/>
        </w:rPr>
        <w:t>Clinical Approach</w:t>
      </w:r>
    </w:p>
    <w:p w14:paraId="15489721">
      <w:pPr>
        <w:spacing w:line="360" w:lineRule="auto"/>
        <w:rPr>
          <w:rFonts w:eastAsia="等线"/>
          <w:b/>
          <w:bCs/>
          <w:szCs w:val="20"/>
          <w:lang w:val="en-US" w:eastAsia="zh-CN"/>
        </w:rPr>
      </w:pPr>
      <w:bookmarkStart w:id="125" w:name="259869655"/>
      <w:bookmarkEnd w:id="125"/>
      <w:r>
        <w:rPr>
          <w:rFonts w:eastAsia="等线"/>
          <w:b/>
          <w:bCs/>
          <w:szCs w:val="20"/>
          <w:lang w:val="en-US" w:eastAsia="zh-CN"/>
        </w:rPr>
        <w:t>Epidemiology</w:t>
      </w:r>
    </w:p>
    <w:p w14:paraId="1CDA7D05">
      <w:pPr>
        <w:spacing w:line="360" w:lineRule="auto"/>
        <w:rPr>
          <w:rFonts w:eastAsia="等线"/>
          <w:szCs w:val="20"/>
          <w:lang w:val="en-US" w:eastAsia="zh-CN"/>
        </w:rPr>
      </w:pPr>
      <w:bookmarkStart w:id="126" w:name="259869656"/>
      <w:bookmarkEnd w:id="126"/>
      <w:bookmarkStart w:id="127" w:name="259869657"/>
      <w:bookmarkEnd w:id="127"/>
      <w:r>
        <w:rPr>
          <w:rFonts w:eastAsia="等线"/>
          <w:szCs w:val="20"/>
          <w:lang w:val="en-US" w:eastAsia="zh-CN"/>
        </w:rPr>
        <w:t>According to The </w:t>
      </w:r>
      <w:r>
        <w:rPr>
          <w:rFonts w:eastAsia="等线"/>
          <w:i/>
          <w:iCs/>
          <w:szCs w:val="20"/>
          <w:lang w:val="en-US" w:eastAsia="zh-CN"/>
        </w:rPr>
        <w:t>Diagnostic and Statistical Manual of Mental Disorders, Fifth Edition</w:t>
      </w:r>
      <w:r>
        <w:rPr>
          <w:rFonts w:eastAsia="等线"/>
          <w:szCs w:val="20"/>
          <w:lang w:val="en-US" w:eastAsia="zh-CN"/>
        </w:rPr>
        <w:t> (</w:t>
      </w:r>
      <w:r>
        <w:rPr>
          <w:rFonts w:eastAsia="等线"/>
          <w:i/>
          <w:iCs/>
          <w:szCs w:val="20"/>
          <w:lang w:val="en-US" w:eastAsia="zh-CN"/>
        </w:rPr>
        <w:t>DSM-5</w:t>
      </w:r>
      <w:r>
        <w:rPr>
          <w:rFonts w:eastAsia="等线"/>
          <w:szCs w:val="20"/>
          <w:lang w:val="en-US" w:eastAsia="zh-CN"/>
        </w:rPr>
        <w:t>), </w:t>
      </w:r>
      <w:r>
        <w:rPr>
          <w:rFonts w:eastAsia="等线"/>
          <w:b/>
          <w:bCs/>
          <w:szCs w:val="20"/>
          <w:lang w:val="en-US" w:eastAsia="zh-CN"/>
        </w:rPr>
        <w:t>ADHD</w:t>
      </w:r>
      <w:r>
        <w:rPr>
          <w:rFonts w:eastAsia="等线"/>
          <w:szCs w:val="20"/>
          <w:lang w:val="en-US" w:eastAsia="zh-CN"/>
        </w:rPr>
        <w:t> is a persistent pattern of </w:t>
      </w:r>
      <w:r>
        <w:rPr>
          <w:rFonts w:eastAsia="等线"/>
          <w:b/>
          <w:bCs/>
          <w:szCs w:val="20"/>
          <w:lang w:val="en-US" w:eastAsia="zh-CN"/>
        </w:rPr>
        <w:t>inattention</w:t>
      </w:r>
      <w:r>
        <w:rPr>
          <w:rFonts w:eastAsia="等线"/>
          <w:szCs w:val="20"/>
          <w:lang w:val="en-US" w:eastAsia="zh-CN"/>
        </w:rPr>
        <w:t> </w:t>
      </w:r>
      <w:r>
        <w:rPr>
          <w:rFonts w:eastAsia="等线"/>
          <w:i/>
          <w:iCs/>
          <w:szCs w:val="20"/>
          <w:lang w:val="en-US" w:eastAsia="zh-CN"/>
        </w:rPr>
        <w:t>and/or</w:t>
      </w:r>
      <w:r>
        <w:rPr>
          <w:rFonts w:eastAsia="等线"/>
          <w:szCs w:val="20"/>
          <w:lang w:val="en-US" w:eastAsia="zh-CN"/>
        </w:rPr>
        <w:t> </w:t>
      </w:r>
      <w:r>
        <w:rPr>
          <w:rFonts w:eastAsia="等线"/>
          <w:b/>
          <w:bCs/>
          <w:szCs w:val="20"/>
          <w:lang w:val="en-US" w:eastAsia="zh-CN"/>
        </w:rPr>
        <w:t>hyperactivity-impulsivity</w:t>
      </w:r>
      <w:r>
        <w:rPr>
          <w:rFonts w:eastAsia="等线"/>
          <w:szCs w:val="20"/>
          <w:lang w:val="en-US" w:eastAsia="zh-CN"/>
        </w:rPr>
        <w:t> that </w:t>
      </w:r>
      <w:r>
        <w:rPr>
          <w:rFonts w:eastAsia="等线"/>
          <w:b/>
          <w:bCs/>
          <w:szCs w:val="20"/>
          <w:lang w:val="en-US" w:eastAsia="zh-CN"/>
        </w:rPr>
        <w:t>interferes</w:t>
      </w:r>
      <w:r>
        <w:rPr>
          <w:rFonts w:eastAsia="等线"/>
          <w:szCs w:val="20"/>
          <w:lang w:val="en-US" w:eastAsia="zh-CN"/>
        </w:rPr>
        <w:t> with functioning or development. Previously, ADHD was divided into subtypes based on which behavior predominated, but now it is known that even within a child, symptoms can change with time. ADHD has an estimated 2:1 ratio of </w:t>
      </w:r>
      <w:r>
        <w:rPr>
          <w:rFonts w:eastAsia="等线"/>
          <w:b/>
          <w:bCs/>
          <w:szCs w:val="20"/>
          <w:lang w:val="en-US" w:eastAsia="zh-CN"/>
        </w:rPr>
        <w:t>male predominance.</w:t>
      </w:r>
      <w:r>
        <w:rPr>
          <w:rFonts w:eastAsia="等线"/>
          <w:szCs w:val="20"/>
          <w:lang w:val="en-US" w:eastAsia="zh-CN"/>
        </w:rPr>
        <w:t> Females and adolescents may be underdiagnosed because their presentation is more commonly with inattention, as compared to school-age boys who tend to present with excessive fidgeting, which is more obvious. Prevalence of ADHD among children is around 2% to 18%, with an apparent increase in prevalence likely due to increased awareness and education among parents, educators, and primary care professionals.</w:t>
      </w:r>
    </w:p>
    <w:p w14:paraId="04FAECDB">
      <w:pPr>
        <w:spacing w:line="360" w:lineRule="auto"/>
        <w:rPr>
          <w:rFonts w:eastAsia="等线"/>
          <w:b/>
          <w:bCs/>
          <w:szCs w:val="20"/>
          <w:lang w:val="en-US" w:eastAsia="zh-CN"/>
        </w:rPr>
      </w:pPr>
      <w:r>
        <w:rPr>
          <w:rFonts w:eastAsia="等线"/>
          <w:b/>
          <w:bCs/>
          <w:szCs w:val="20"/>
          <w:lang w:val="en-US" w:eastAsia="zh-CN"/>
        </w:rPr>
        <w:t>Pathophysiology</w:t>
      </w:r>
    </w:p>
    <w:p w14:paraId="295D3E57">
      <w:pPr>
        <w:spacing w:line="360" w:lineRule="auto"/>
        <w:rPr>
          <w:rFonts w:eastAsia="等线"/>
          <w:szCs w:val="20"/>
          <w:lang w:val="en-US" w:eastAsia="zh-CN"/>
        </w:rPr>
      </w:pPr>
      <w:bookmarkStart w:id="128" w:name="259869659"/>
      <w:bookmarkEnd w:id="128"/>
      <w:bookmarkStart w:id="129" w:name="259869658"/>
      <w:bookmarkEnd w:id="129"/>
      <w:r>
        <w:rPr>
          <w:rFonts w:eastAsia="等线"/>
          <w:szCs w:val="20"/>
          <w:lang w:val="en-US" w:eastAsia="zh-CN"/>
        </w:rPr>
        <w:t>The </w:t>
      </w:r>
      <w:r>
        <w:rPr>
          <w:rFonts w:eastAsia="等线"/>
          <w:b/>
          <w:bCs/>
          <w:szCs w:val="20"/>
          <w:lang w:val="en-US" w:eastAsia="zh-CN"/>
        </w:rPr>
        <w:t>pathophysiology of ADHD remains to be determined</w:t>
      </w:r>
      <w:r>
        <w:rPr>
          <w:rFonts w:eastAsia="等线"/>
          <w:szCs w:val="20"/>
          <w:lang w:val="en-US" w:eastAsia="zh-CN"/>
        </w:rPr>
        <w:t>, but research has identified genetics, variability in neuroanatomy, and catecholamine metabolism as primary factors in this condition. The executive control and corticocerebellar networks responsible for coordinating executive functioning (ie, planning, goal-directed behavior, working memory) are underactivated in individuals with ADHD compared to those without ADHD. Decreased dopamine activity in certain brain regions, such as the prefrontal cortex and basal ganglia, has also been identified in children with ADHD, although norepinephrine also plays an important role in ADHD.</w:t>
      </w:r>
    </w:p>
    <w:p w14:paraId="792D4C98">
      <w:pPr>
        <w:spacing w:line="360" w:lineRule="auto"/>
        <w:rPr>
          <w:rFonts w:eastAsia="等线"/>
          <w:b/>
          <w:bCs/>
          <w:szCs w:val="20"/>
          <w:lang w:val="en-US" w:eastAsia="zh-CN"/>
        </w:rPr>
      </w:pPr>
      <w:r>
        <w:rPr>
          <w:rFonts w:eastAsia="等线"/>
          <w:b/>
          <w:bCs/>
          <w:szCs w:val="20"/>
          <w:lang w:val="en-US" w:eastAsia="zh-CN"/>
        </w:rPr>
        <w:t>Clinical Presentation</w:t>
      </w:r>
    </w:p>
    <w:p w14:paraId="59E05DE0">
      <w:pPr>
        <w:spacing w:line="360" w:lineRule="auto"/>
        <w:rPr>
          <w:rFonts w:eastAsia="等线"/>
          <w:b/>
          <w:bCs/>
          <w:szCs w:val="20"/>
          <w:lang w:val="en-US" w:eastAsia="zh-CN"/>
        </w:rPr>
      </w:pPr>
      <w:bookmarkStart w:id="130" w:name="259869660"/>
      <w:bookmarkEnd w:id="130"/>
      <w:r>
        <w:rPr>
          <w:rFonts w:eastAsia="等线"/>
          <w:b/>
          <w:bCs/>
          <w:szCs w:val="20"/>
          <w:lang w:val="en-US" w:eastAsia="zh-CN"/>
        </w:rPr>
        <w:t>Types and Diagnostic Criteria</w:t>
      </w:r>
    </w:p>
    <w:p w14:paraId="0F7E418E">
      <w:pPr>
        <w:spacing w:line="360" w:lineRule="auto"/>
        <w:rPr>
          <w:rFonts w:eastAsia="等线"/>
          <w:szCs w:val="20"/>
          <w:lang w:val="en-US" w:eastAsia="zh-CN"/>
        </w:rPr>
      </w:pPr>
      <w:bookmarkStart w:id="131" w:name="259869662"/>
      <w:bookmarkEnd w:id="131"/>
      <w:bookmarkStart w:id="132" w:name="259869661"/>
      <w:bookmarkEnd w:id="132"/>
      <w:r>
        <w:rPr>
          <w:rFonts w:eastAsia="等线"/>
          <w:szCs w:val="20"/>
          <w:lang w:val="en-US" w:eastAsia="zh-CN"/>
        </w:rPr>
        <w:t>There are three presentations of ADHD:</w:t>
      </w:r>
    </w:p>
    <w:p w14:paraId="79A59CA1">
      <w:pPr>
        <w:numPr>
          <w:ilvl w:val="0"/>
          <w:numId w:val="39"/>
        </w:numPr>
        <w:spacing w:line="360" w:lineRule="auto"/>
        <w:rPr>
          <w:rFonts w:eastAsia="等线"/>
          <w:szCs w:val="20"/>
          <w:lang w:val="en-US" w:eastAsia="zh-CN"/>
        </w:rPr>
      </w:pPr>
      <w:bookmarkStart w:id="133" w:name="259869663"/>
      <w:bookmarkEnd w:id="133"/>
      <w:r>
        <w:rPr>
          <w:rFonts w:eastAsia="等线"/>
          <w:b/>
          <w:bCs/>
          <w:szCs w:val="20"/>
          <w:lang w:val="en-US" w:eastAsia="zh-CN"/>
        </w:rPr>
        <w:t>Predominantly inattention</w:t>
      </w:r>
      <w:r>
        <w:rPr>
          <w:rFonts w:eastAsia="等线"/>
          <w:szCs w:val="20"/>
          <w:lang w:val="en-US" w:eastAsia="zh-CN"/>
        </w:rPr>
        <w:t> (</w:t>
      </w:r>
      <w:r>
        <w:rPr>
          <w:rFonts w:eastAsia="等线"/>
          <w:b/>
          <w:bCs/>
          <w:szCs w:val="20"/>
          <w:lang w:val="en-US" w:eastAsia="zh-CN"/>
        </w:rPr>
        <w:t>at least six</w:t>
      </w:r>
      <w:r>
        <w:rPr>
          <w:rFonts w:eastAsia="等线"/>
          <w:szCs w:val="20"/>
          <w:lang w:val="en-US" w:eastAsia="zh-CN"/>
        </w:rPr>
        <w:t> inattention behaviors for children up to age 16; five for those aged 17 and above)</w:t>
      </w:r>
    </w:p>
    <w:p w14:paraId="6176C798">
      <w:pPr>
        <w:numPr>
          <w:ilvl w:val="0"/>
          <w:numId w:val="39"/>
        </w:numPr>
        <w:spacing w:line="360" w:lineRule="auto"/>
        <w:rPr>
          <w:rFonts w:eastAsia="等线"/>
          <w:szCs w:val="20"/>
          <w:lang w:val="en-US" w:eastAsia="zh-CN"/>
        </w:rPr>
      </w:pPr>
      <w:r>
        <w:rPr>
          <w:rFonts w:eastAsia="等线"/>
          <w:b/>
          <w:bCs/>
          <w:szCs w:val="20"/>
          <w:lang w:val="en-US" w:eastAsia="zh-CN"/>
        </w:rPr>
        <w:t>Predominantly hyperactive-impulsive behavior</w:t>
      </w:r>
      <w:r>
        <w:rPr>
          <w:rFonts w:eastAsia="等线"/>
          <w:szCs w:val="20"/>
          <w:lang w:val="en-US" w:eastAsia="zh-CN"/>
        </w:rPr>
        <w:t> (</w:t>
      </w:r>
      <w:r>
        <w:rPr>
          <w:rFonts w:eastAsia="等线"/>
          <w:b/>
          <w:bCs/>
          <w:szCs w:val="20"/>
          <w:lang w:val="en-US" w:eastAsia="zh-CN"/>
        </w:rPr>
        <w:t>at least six</w:t>
      </w:r>
      <w:r>
        <w:rPr>
          <w:rFonts w:eastAsia="等线"/>
          <w:szCs w:val="20"/>
          <w:lang w:val="en-US" w:eastAsia="zh-CN"/>
        </w:rPr>
        <w:t> hyperactive-impulsive behaviors for children up to age 16; five for those aged 17 and above)</w:t>
      </w:r>
    </w:p>
    <w:p w14:paraId="24D3FCD8">
      <w:pPr>
        <w:numPr>
          <w:ilvl w:val="0"/>
          <w:numId w:val="39"/>
        </w:numPr>
        <w:spacing w:line="360" w:lineRule="auto"/>
        <w:rPr>
          <w:rFonts w:eastAsia="等线"/>
          <w:szCs w:val="20"/>
          <w:lang w:val="en-US" w:eastAsia="zh-CN"/>
        </w:rPr>
      </w:pPr>
      <w:r>
        <w:rPr>
          <w:rFonts w:eastAsia="等线"/>
          <w:b/>
          <w:bCs/>
          <w:szCs w:val="20"/>
          <w:lang w:val="en-US" w:eastAsia="zh-CN"/>
        </w:rPr>
        <w:t>Combined</w:t>
      </w:r>
      <w:r>
        <w:rPr>
          <w:rFonts w:eastAsia="等线"/>
          <w:szCs w:val="20"/>
          <w:lang w:val="en-US" w:eastAsia="zh-CN"/>
        </w:rPr>
        <w:t> (</w:t>
      </w:r>
      <w:r>
        <w:rPr>
          <w:rFonts w:eastAsia="等线"/>
          <w:b/>
          <w:bCs/>
          <w:szCs w:val="20"/>
          <w:lang w:val="en-US" w:eastAsia="zh-CN"/>
        </w:rPr>
        <w:t>at least six</w:t>
      </w:r>
      <w:r>
        <w:rPr>
          <w:rFonts w:eastAsia="等线"/>
          <w:szCs w:val="20"/>
          <w:lang w:val="en-US" w:eastAsia="zh-CN"/>
        </w:rPr>
        <w:t> of each of the inattention and hyperactive-impulsive behaviors for children up to age 16; five for children aged 17 and older)</w:t>
      </w:r>
    </w:p>
    <w:p w14:paraId="7397B026">
      <w:pPr>
        <w:spacing w:line="360" w:lineRule="auto"/>
        <w:rPr>
          <w:rFonts w:eastAsia="等线"/>
          <w:szCs w:val="20"/>
          <w:lang w:val="en-US" w:eastAsia="zh-CN"/>
        </w:rPr>
      </w:pPr>
      <w:bookmarkStart w:id="134" w:name="259869664"/>
      <w:bookmarkEnd w:id="134"/>
      <w:r>
        <w:rPr>
          <w:rFonts w:eastAsia="等线"/>
          <w:szCs w:val="20"/>
          <w:lang w:val="en-US" w:eastAsia="zh-CN"/>
        </w:rPr>
        <w:t>In addition, the following conditions must be met (see </w:t>
      </w:r>
      <w:r>
        <w:fldChar w:fldCharType="begin"/>
      </w:r>
      <w:r>
        <w:instrText xml:space="preserve"> HYPERLINK "https://casefiles.mhmedical.com/CaseContent.aspx?gbosID=568694&amp;gbosContainerID=272&amp;viewByNumber=false&amp;groupid=0" \l "casefiles.pediatrics6e_cs59tb1" </w:instrText>
      </w:r>
      <w:r>
        <w:fldChar w:fldCharType="separate"/>
      </w:r>
      <w:r>
        <w:rPr>
          <w:rStyle w:val="17"/>
          <w:rFonts w:eastAsia="等线"/>
          <w:szCs w:val="20"/>
          <w:lang w:val="en-US" w:eastAsia="zh-CN"/>
        </w:rPr>
        <w:t>Table 59–1</w:t>
      </w:r>
      <w:r>
        <w:rPr>
          <w:rStyle w:val="17"/>
          <w:rFonts w:eastAsia="等线"/>
          <w:szCs w:val="20"/>
          <w:lang w:val="en-US" w:eastAsia="zh-CN"/>
        </w:rPr>
        <w:fldChar w:fldCharType="end"/>
      </w:r>
      <w:r>
        <w:rPr>
          <w:rFonts w:eastAsia="等线"/>
          <w:szCs w:val="20"/>
          <w:lang w:val="en-US" w:eastAsia="zh-CN"/>
        </w:rPr>
        <w:t>):</w:t>
      </w:r>
    </w:p>
    <w:p w14:paraId="1D4D9F2A">
      <w:pPr>
        <w:spacing w:line="360" w:lineRule="auto"/>
        <w:rPr>
          <w:rFonts w:eastAsia="等线"/>
          <w:b/>
          <w:bCs/>
          <w:szCs w:val="20"/>
          <w:lang w:val="en-US" w:eastAsia="zh-CN"/>
        </w:rPr>
      </w:pPr>
      <w:r>
        <w:rPr>
          <w:rFonts w:eastAsia="等线"/>
          <w:b/>
          <w:bCs/>
          <w:szCs w:val="20"/>
          <w:lang w:val="en-US" w:eastAsia="zh-CN"/>
        </w:rPr>
        <w:t>ADDITIONAL DIAGNOSTIC CRITERIA FOR ADHD</w:t>
      </w:r>
    </w:p>
    <w:p w14:paraId="45DFBD63">
      <w:pPr>
        <w:spacing w:line="360" w:lineRule="auto"/>
        <w:rPr>
          <w:rFonts w:eastAsia="等线"/>
          <w:szCs w:val="20"/>
          <w:lang w:val="en-US" w:eastAsia="zh-CN"/>
        </w:rPr>
      </w:pPr>
      <w:bookmarkStart w:id="135" w:name="259869665"/>
      <w:bookmarkEnd w:id="135"/>
      <w:r>
        <w:rPr>
          <w:rFonts w:eastAsia="等线"/>
          <w:szCs w:val="20"/>
          <w:lang w:val="en-US" w:eastAsia="zh-CN"/>
        </w:rPr>
        <w:t> |Download (.pdf)|Print</w:t>
      </w:r>
    </w:p>
    <w:p w14:paraId="33716279">
      <w:pPr>
        <w:spacing w:line="360" w:lineRule="auto"/>
        <w:rPr>
          <w:rFonts w:eastAsia="等线"/>
          <w:szCs w:val="20"/>
          <w:lang w:val="en-US" w:eastAsia="zh-CN"/>
        </w:rPr>
      </w:pPr>
      <w:r>
        <w:rPr>
          <w:rFonts w:eastAsia="等线"/>
          <w:szCs w:val="20"/>
          <w:lang w:val="en-US" w:eastAsia="zh-CN"/>
        </w:rPr>
        <w:t>Table 59–1</w:t>
      </w:r>
      <w:r>
        <w:rPr>
          <w:rFonts w:eastAsia="等线"/>
          <w:b/>
          <w:bCs/>
          <w:szCs w:val="20"/>
          <w:lang w:val="en-US" w:eastAsia="zh-CN"/>
        </w:rPr>
        <w:t>ADDITIONAL DIAGNOSTIC CRITERIA FOR ADHD</w:t>
      </w:r>
    </w:p>
    <w:tbl>
      <w:tblPr>
        <w:tblStyle w:val="14"/>
        <w:tblW w:w="5000" w:type="pct"/>
        <w:tblInd w:w="0" w:type="dxa"/>
        <w:tblLayout w:type="autofit"/>
        <w:tblCellMar>
          <w:top w:w="15" w:type="dxa"/>
          <w:left w:w="15" w:type="dxa"/>
          <w:bottom w:w="15" w:type="dxa"/>
          <w:right w:w="15" w:type="dxa"/>
        </w:tblCellMar>
      </w:tblPr>
      <w:tblGrid>
        <w:gridCol w:w="9056"/>
      </w:tblGrid>
      <w:tr w14:paraId="1A86E84A">
        <w:tblPrEx>
          <w:tblCellMar>
            <w:top w:w="15" w:type="dxa"/>
            <w:left w:w="15" w:type="dxa"/>
            <w:bottom w:w="15" w:type="dxa"/>
            <w:right w:w="15" w:type="dxa"/>
          </w:tblCellMar>
        </w:tblPrEx>
        <w:tc>
          <w:tcPr>
            <w:tcW w:w="5000" w:type="pct"/>
            <w:tcBorders>
              <w:top w:val="single" w:color="C9C9C9" w:sz="6" w:space="0"/>
              <w:left w:val="single" w:color="C9C9C9" w:sz="6" w:space="0"/>
              <w:bottom w:val="single" w:color="C9C9C9" w:sz="6" w:space="0"/>
              <w:right w:val="single" w:color="C9C9C9" w:sz="6" w:space="0"/>
            </w:tcBorders>
            <w:vAlign w:val="center"/>
          </w:tcPr>
          <w:p w14:paraId="1FDB77D4">
            <w:pPr>
              <w:spacing w:line="360" w:lineRule="auto"/>
              <w:rPr>
                <w:rFonts w:eastAsia="等线"/>
                <w:szCs w:val="20"/>
                <w:lang w:val="en-US" w:eastAsia="zh-CN"/>
              </w:rPr>
            </w:pPr>
            <w:r>
              <w:rPr>
                <w:rFonts w:eastAsia="等线"/>
                <w:szCs w:val="20"/>
                <w:lang w:val="en-US" w:eastAsia="zh-CN"/>
              </w:rPr>
              <w:t>Several symptoms are present in </w:t>
            </w:r>
            <w:r>
              <w:rPr>
                <w:rFonts w:eastAsia="等线"/>
                <w:b/>
                <w:bCs/>
                <w:szCs w:val="20"/>
                <w:lang w:val="en-US" w:eastAsia="zh-CN"/>
              </w:rPr>
              <w:t>two or more settings</w:t>
            </w:r>
            <w:r>
              <w:rPr>
                <w:rFonts w:eastAsia="等线"/>
                <w:szCs w:val="20"/>
                <w:lang w:val="en-US" w:eastAsia="zh-CN"/>
              </w:rPr>
              <w:t> (eg, at home, school, or work; with friends or relatives; in other activities).</w:t>
            </w:r>
          </w:p>
          <w:p w14:paraId="4190B883">
            <w:pPr>
              <w:spacing w:line="360" w:lineRule="auto"/>
              <w:rPr>
                <w:rFonts w:eastAsia="等线"/>
                <w:szCs w:val="20"/>
                <w:lang w:val="en-US" w:eastAsia="zh-CN"/>
              </w:rPr>
            </w:pPr>
            <w:r>
              <w:rPr>
                <w:rFonts w:eastAsia="等线"/>
                <w:szCs w:val="20"/>
                <w:lang w:val="en-US" w:eastAsia="zh-CN"/>
              </w:rPr>
              <w:t>Several symptoms are present for </w:t>
            </w:r>
            <w:r>
              <w:rPr>
                <w:rFonts w:eastAsia="等线"/>
                <w:b/>
                <w:bCs/>
                <w:szCs w:val="20"/>
                <w:lang w:val="en-US" w:eastAsia="zh-CN"/>
              </w:rPr>
              <w:t>at least 6 months.</w:t>
            </w:r>
          </w:p>
          <w:p w14:paraId="680351C7">
            <w:pPr>
              <w:spacing w:line="360" w:lineRule="auto"/>
              <w:rPr>
                <w:rFonts w:eastAsia="等线"/>
                <w:szCs w:val="20"/>
                <w:lang w:val="en-US" w:eastAsia="zh-CN"/>
              </w:rPr>
            </w:pPr>
            <w:r>
              <w:rPr>
                <w:rFonts w:eastAsia="等线"/>
                <w:szCs w:val="20"/>
                <w:lang w:val="en-US" w:eastAsia="zh-CN"/>
              </w:rPr>
              <w:t>Symptoms or behaviors </w:t>
            </w:r>
            <w:r>
              <w:rPr>
                <w:rFonts w:eastAsia="等线"/>
                <w:b/>
                <w:bCs/>
                <w:szCs w:val="20"/>
                <w:lang w:val="en-US" w:eastAsia="zh-CN"/>
              </w:rPr>
              <w:t>interfere with social, school, or work functioning.</w:t>
            </w:r>
          </w:p>
          <w:p w14:paraId="6265377A">
            <w:pPr>
              <w:spacing w:line="360" w:lineRule="auto"/>
              <w:rPr>
                <w:rFonts w:eastAsia="等线"/>
                <w:szCs w:val="20"/>
                <w:lang w:val="en-US" w:eastAsia="zh-CN"/>
              </w:rPr>
            </w:pPr>
            <w:r>
              <w:rPr>
                <w:rFonts w:eastAsia="等线"/>
                <w:szCs w:val="20"/>
                <w:lang w:val="en-US" w:eastAsia="zh-CN"/>
              </w:rPr>
              <w:t>Several inattentive or hyperactive-impulsive symptoms present </w:t>
            </w:r>
            <w:r>
              <w:rPr>
                <w:rFonts w:eastAsia="等线"/>
                <w:b/>
                <w:bCs/>
                <w:szCs w:val="20"/>
                <w:lang w:val="en-US" w:eastAsia="zh-CN"/>
              </w:rPr>
              <w:t>before age 12.</w:t>
            </w:r>
          </w:p>
          <w:p w14:paraId="600E2AA5">
            <w:pPr>
              <w:spacing w:line="360" w:lineRule="auto"/>
              <w:rPr>
                <w:rFonts w:eastAsia="等线"/>
                <w:szCs w:val="20"/>
                <w:lang w:val="en-US" w:eastAsia="zh-CN"/>
              </w:rPr>
            </w:pPr>
            <w:r>
              <w:rPr>
                <w:rFonts w:eastAsia="等线"/>
                <w:szCs w:val="20"/>
                <w:lang w:val="en-US" w:eastAsia="zh-CN"/>
              </w:rPr>
              <w:t>Symptoms are not better explained by another mental disorder (eg, psychotic disorder, mood disorder, anxiety disorder, dissociative disorder, or a personality disorder).</w:t>
            </w:r>
          </w:p>
        </w:tc>
      </w:tr>
    </w:tbl>
    <w:p w14:paraId="448A2B62">
      <w:pPr>
        <w:spacing w:line="360" w:lineRule="auto"/>
        <w:rPr>
          <w:rFonts w:eastAsia="等线"/>
          <w:szCs w:val="20"/>
          <w:lang w:val="en-US" w:eastAsia="zh-CN"/>
        </w:rPr>
      </w:pPr>
      <w:bookmarkStart w:id="136" w:name="259869666"/>
      <w:bookmarkEnd w:id="136"/>
      <w:r>
        <w:rPr>
          <w:rFonts w:eastAsia="等线"/>
          <w:b/>
          <w:bCs/>
          <w:szCs w:val="20"/>
          <w:lang w:val="en-US" w:eastAsia="zh-CN"/>
        </w:rPr>
        <w:t>Inattention criteria</w:t>
      </w:r>
      <w:r>
        <w:rPr>
          <w:rFonts w:eastAsia="等线"/>
          <w:szCs w:val="20"/>
          <w:lang w:val="en-US" w:eastAsia="zh-CN"/>
        </w:rPr>
        <w:t> of ADHD include failing to pay close attention to details, having difficulty sustaining attention, not listening, difficulty completing chores or schoolwork, difficulty organizing tasks, avoiding sustained mental effort, frequently losing things, easy distractibility, and forgetfulness.</w:t>
      </w:r>
    </w:p>
    <w:p w14:paraId="03AF39E7">
      <w:pPr>
        <w:spacing w:line="360" w:lineRule="auto"/>
        <w:rPr>
          <w:rFonts w:eastAsia="等线"/>
          <w:szCs w:val="20"/>
          <w:lang w:val="en-US" w:eastAsia="zh-CN"/>
        </w:rPr>
      </w:pPr>
      <w:bookmarkStart w:id="137" w:name="259869667"/>
      <w:bookmarkEnd w:id="137"/>
      <w:r>
        <w:rPr>
          <w:rFonts w:eastAsia="等线"/>
          <w:b/>
          <w:bCs/>
          <w:szCs w:val="20"/>
          <w:lang w:val="en-US" w:eastAsia="zh-CN"/>
        </w:rPr>
        <w:t>Hyperactivity criteria</w:t>
      </w:r>
      <w:r>
        <w:rPr>
          <w:rFonts w:eastAsia="等线"/>
          <w:szCs w:val="20"/>
          <w:lang w:val="en-US" w:eastAsia="zh-CN"/>
        </w:rPr>
        <w:t> of ADHD include frequent fidgeting, leaving the seat in situations that require remaining in place, running in inappropriate situations or feelings of restlessness, difficulty playing quietly, often being “on the go,” talking excessively, blurting out answers, difficulty waiting for her or his turn, and often interrupting others.</w:t>
      </w:r>
    </w:p>
    <w:p w14:paraId="744D0A96">
      <w:pPr>
        <w:spacing w:line="360" w:lineRule="auto"/>
        <w:rPr>
          <w:rFonts w:eastAsia="等线"/>
          <w:b/>
          <w:bCs/>
          <w:szCs w:val="20"/>
          <w:lang w:val="en-US" w:eastAsia="zh-CN"/>
        </w:rPr>
      </w:pPr>
      <w:r>
        <w:rPr>
          <w:rFonts w:eastAsia="等线"/>
          <w:b/>
          <w:bCs/>
          <w:szCs w:val="20"/>
          <w:lang w:val="en-US" w:eastAsia="zh-CN"/>
        </w:rPr>
        <w:t>Evaluation</w:t>
      </w:r>
    </w:p>
    <w:p w14:paraId="4A9C1B1F">
      <w:pPr>
        <w:spacing w:line="360" w:lineRule="auto"/>
        <w:rPr>
          <w:rFonts w:eastAsia="等线"/>
          <w:szCs w:val="20"/>
          <w:lang w:val="en-US" w:eastAsia="zh-CN"/>
        </w:rPr>
      </w:pPr>
      <w:bookmarkStart w:id="138" w:name="259869669"/>
      <w:bookmarkEnd w:id="138"/>
      <w:bookmarkStart w:id="139" w:name="259869668"/>
      <w:bookmarkEnd w:id="139"/>
      <w:r>
        <w:rPr>
          <w:rFonts w:eastAsia="等线"/>
          <w:szCs w:val="20"/>
          <w:lang w:val="en-US" w:eastAsia="zh-CN"/>
        </w:rPr>
        <w:t>Evaluation for ADHD includes </w:t>
      </w:r>
      <w:r>
        <w:rPr>
          <w:rFonts w:eastAsia="等线"/>
          <w:b/>
          <w:bCs/>
          <w:szCs w:val="20"/>
          <w:lang w:val="en-US" w:eastAsia="zh-CN"/>
        </w:rPr>
        <w:t>medical, developmental, and psychosocial</w:t>
      </w:r>
      <w:r>
        <w:rPr>
          <w:rFonts w:eastAsia="等线"/>
          <w:szCs w:val="20"/>
          <w:lang w:val="en-US" w:eastAsia="zh-CN"/>
        </w:rPr>
        <w:t> assessment, but caregivers and classroom teacher(s) tend to provide essential information through assessment scales, such as the Vanderbilt Assessment Scales, Conners Comprehensive Behavior Rating Scale, and the ADHD Rating Scale IV. Alternatively, information can be gathered through narratives or descriptive interviews. </w:t>
      </w:r>
      <w:r>
        <w:rPr>
          <w:rFonts w:eastAsia="等线"/>
          <w:b/>
          <w:bCs/>
          <w:szCs w:val="20"/>
          <w:lang w:val="en-US" w:eastAsia="zh-CN"/>
        </w:rPr>
        <w:t>Psychological and developmental testing is part of the evaluation</w:t>
      </w:r>
      <w:r>
        <w:rPr>
          <w:rFonts w:eastAsia="等线"/>
          <w:szCs w:val="20"/>
          <w:lang w:val="en-US" w:eastAsia="zh-CN"/>
        </w:rPr>
        <w:t> for ADHD because </w:t>
      </w:r>
      <w:r>
        <w:rPr>
          <w:rFonts w:eastAsia="等线"/>
          <w:b/>
          <w:bCs/>
          <w:szCs w:val="20"/>
          <w:lang w:val="en-US" w:eastAsia="zh-CN"/>
        </w:rPr>
        <w:t>coexisting psychological and learning disorders occur frequently.</w:t>
      </w:r>
      <w:r>
        <w:rPr>
          <w:rFonts w:eastAsia="等线"/>
          <w:szCs w:val="20"/>
          <w:lang w:val="en-US" w:eastAsia="zh-CN"/>
        </w:rPr>
        <w:t> Common coexisting conditions include oppositional defiant disorder (35.2%), conduct disorder (25.7%), anxiety disorder (25.8%), and depressive disorder (18.2%). Approximately 12% to 60% of children with ADHD have concurrent learning disorders and may benefit from special education services.</w:t>
      </w:r>
    </w:p>
    <w:p w14:paraId="61C94D33">
      <w:pPr>
        <w:spacing w:line="360" w:lineRule="auto"/>
        <w:rPr>
          <w:rFonts w:eastAsia="等线"/>
          <w:b/>
          <w:bCs/>
          <w:szCs w:val="20"/>
          <w:lang w:val="en-US" w:eastAsia="zh-CN"/>
        </w:rPr>
      </w:pPr>
      <w:r>
        <w:rPr>
          <w:rFonts w:eastAsia="等线"/>
          <w:b/>
          <w:bCs/>
          <w:szCs w:val="20"/>
          <w:lang w:val="en-US" w:eastAsia="zh-CN"/>
        </w:rPr>
        <w:t>Treatment</w:t>
      </w:r>
    </w:p>
    <w:p w14:paraId="02A38EAC">
      <w:pPr>
        <w:spacing w:line="360" w:lineRule="auto"/>
        <w:rPr>
          <w:rFonts w:eastAsia="等线"/>
          <w:szCs w:val="20"/>
          <w:lang w:val="en-US" w:eastAsia="zh-CN"/>
        </w:rPr>
      </w:pPr>
      <w:bookmarkStart w:id="140" w:name="259869670"/>
      <w:bookmarkEnd w:id="140"/>
      <w:bookmarkStart w:id="141" w:name="259869671"/>
      <w:bookmarkEnd w:id="141"/>
      <w:r>
        <w:rPr>
          <w:rFonts w:eastAsia="等线"/>
          <w:b/>
          <w:bCs/>
          <w:szCs w:val="20"/>
          <w:lang w:val="en-US" w:eastAsia="zh-CN"/>
        </w:rPr>
        <w:t>Treatment consists of behavior management and educational interventions</w:t>
      </w:r>
      <w:r>
        <w:rPr>
          <w:rFonts w:eastAsia="等线"/>
          <w:szCs w:val="20"/>
          <w:lang w:val="en-US" w:eastAsia="zh-CN"/>
        </w:rPr>
        <w:t>, with or without psychopharmacology. Behavioral modification includes emphasizing appropriate behavior with positive reinforcement (eg, providing rewards or privileges) and negative consequences (eg, timeout or withdrawal of privileges) and collaboration with caregivers and teachers to implement a long-term treatment program. </w:t>
      </w:r>
      <w:r>
        <w:rPr>
          <w:rFonts w:eastAsia="等线"/>
          <w:b/>
          <w:bCs/>
          <w:szCs w:val="20"/>
          <w:lang w:val="en-US" w:eastAsia="zh-CN"/>
        </w:rPr>
        <w:t>Treatment should help set specific goals, such as decreasing disruptive behavior and improving academic performance, organization, and task completion.</w:t>
      </w:r>
      <w:r>
        <w:rPr>
          <w:rFonts w:eastAsia="等线"/>
          <w:szCs w:val="20"/>
          <w:lang w:val="en-US" w:eastAsia="zh-CN"/>
        </w:rPr>
        <w:t> Small class size, structured work, stimulating schoolwork, and appropriate seating arrangements can help decrease disruptive classroom behaviors.</w:t>
      </w:r>
    </w:p>
    <w:p w14:paraId="57A51A99">
      <w:pPr>
        <w:spacing w:line="360" w:lineRule="auto"/>
        <w:rPr>
          <w:rFonts w:eastAsia="等线"/>
          <w:szCs w:val="20"/>
          <w:lang w:val="en-US" w:eastAsia="zh-CN"/>
        </w:rPr>
      </w:pPr>
      <w:bookmarkStart w:id="142" w:name="259869672"/>
      <w:bookmarkEnd w:id="142"/>
      <w:r>
        <w:rPr>
          <w:rFonts w:eastAsia="等线"/>
          <w:b/>
          <w:bCs/>
          <w:szCs w:val="20"/>
          <w:lang w:val="en-US" w:eastAsia="zh-CN"/>
        </w:rPr>
        <w:t>Medications</w:t>
      </w:r>
      <w:r>
        <w:rPr>
          <w:rFonts w:eastAsia="等线"/>
          <w:szCs w:val="20"/>
          <w:lang w:val="en-US" w:eastAsia="zh-CN"/>
        </w:rPr>
        <w:t> are often used to </w:t>
      </w:r>
      <w:r>
        <w:rPr>
          <w:rFonts w:eastAsia="等线"/>
          <w:b/>
          <w:bCs/>
          <w:szCs w:val="20"/>
          <w:lang w:val="en-US" w:eastAsia="zh-CN"/>
        </w:rPr>
        <w:t>assist</w:t>
      </w:r>
      <w:r>
        <w:rPr>
          <w:rFonts w:eastAsia="等线"/>
          <w:szCs w:val="20"/>
          <w:lang w:val="en-US" w:eastAsia="zh-CN"/>
        </w:rPr>
        <w:t> in treatment. </w:t>
      </w:r>
      <w:r>
        <w:rPr>
          <w:rFonts w:eastAsia="等线"/>
          <w:b/>
          <w:bCs/>
          <w:szCs w:val="20"/>
          <w:lang w:val="en-US" w:eastAsia="zh-CN"/>
        </w:rPr>
        <w:t>Stimulant medications</w:t>
      </w:r>
      <w:r>
        <w:rPr>
          <w:rFonts w:eastAsia="等线"/>
          <w:szCs w:val="20"/>
          <w:lang w:val="en-US" w:eastAsia="zh-CN"/>
        </w:rPr>
        <w:t> are considered </w:t>
      </w:r>
      <w:r>
        <w:rPr>
          <w:rFonts w:eastAsia="等线"/>
          <w:b/>
          <w:bCs/>
          <w:szCs w:val="20"/>
          <w:lang w:val="en-US" w:eastAsia="zh-CN"/>
        </w:rPr>
        <w:t>first-line</w:t>
      </w:r>
      <w:r>
        <w:rPr>
          <w:rFonts w:eastAsia="等线"/>
          <w:szCs w:val="20"/>
          <w:lang w:val="en-US" w:eastAsia="zh-CN"/>
        </w:rPr>
        <w:t> pharmacologic therapy because of their rapid onset of action, well-known safety, and efficacy. These include </w:t>
      </w:r>
      <w:r>
        <w:rPr>
          <w:rFonts w:eastAsia="等线"/>
          <w:b/>
          <w:bCs/>
          <w:szCs w:val="20"/>
          <w:lang w:val="en-US" w:eastAsia="zh-CN"/>
        </w:rPr>
        <w:t>methylphenidate</w:t>
      </w:r>
      <w:r>
        <w:rPr>
          <w:rFonts w:eastAsia="等线"/>
          <w:szCs w:val="20"/>
          <w:lang w:val="en-US" w:eastAsia="zh-CN"/>
        </w:rPr>
        <w:t> compounds (ie, </w:t>
      </w:r>
      <w:r>
        <w:rPr>
          <w:rFonts w:eastAsia="等线"/>
          <w:i/>
          <w:iCs/>
          <w:szCs w:val="20"/>
          <w:lang w:val="en-US" w:eastAsia="zh-CN"/>
        </w:rPr>
        <w:t>Ritalin</w:t>
      </w:r>
      <w:r>
        <w:rPr>
          <w:rFonts w:eastAsia="等线"/>
          <w:szCs w:val="20"/>
          <w:lang w:val="en-US" w:eastAsia="zh-CN"/>
        </w:rPr>
        <w:t>), </w:t>
      </w:r>
      <w:r>
        <w:rPr>
          <w:rFonts w:eastAsia="等线"/>
          <w:b/>
          <w:bCs/>
          <w:szCs w:val="20"/>
          <w:lang w:val="en-US" w:eastAsia="zh-CN"/>
        </w:rPr>
        <w:t>dextroamphetamine</w:t>
      </w:r>
      <w:r>
        <w:rPr>
          <w:rFonts w:eastAsia="等线"/>
          <w:szCs w:val="20"/>
          <w:lang w:val="en-US" w:eastAsia="zh-CN"/>
        </w:rPr>
        <w:t>, and </w:t>
      </w:r>
      <w:r>
        <w:rPr>
          <w:rFonts w:eastAsia="等线"/>
          <w:b/>
          <w:bCs/>
          <w:szCs w:val="20"/>
          <w:lang w:val="en-US" w:eastAsia="zh-CN"/>
        </w:rPr>
        <w:t>mixed amphetamine salts</w:t>
      </w:r>
      <w:r>
        <w:rPr>
          <w:rFonts w:eastAsia="等线"/>
          <w:szCs w:val="20"/>
          <w:lang w:val="en-US" w:eastAsia="zh-CN"/>
        </w:rPr>
        <w:t> (ie, </w:t>
      </w:r>
      <w:r>
        <w:rPr>
          <w:rFonts w:eastAsia="等线"/>
          <w:i/>
          <w:iCs/>
          <w:szCs w:val="20"/>
          <w:lang w:val="en-US" w:eastAsia="zh-CN"/>
        </w:rPr>
        <w:t>Adderall</w:t>
      </w:r>
      <w:r>
        <w:rPr>
          <w:rFonts w:eastAsia="等线"/>
          <w:szCs w:val="20"/>
          <w:lang w:val="en-US" w:eastAsia="zh-CN"/>
        </w:rPr>
        <w:t>). Their mechanism of action is primarily to increase central dopamine and norepinephrine activity. Second-line options include atomoxetine (a norepinephrine reuptake inhibitor) and alpha-2-adrenergic agonists (eg, clonidine, guanfacine) for children who exhibit poor response to stimulants, unacceptable side effects, concern for abuse, or a strong family preference against stimulant medication.</w:t>
      </w:r>
    </w:p>
    <w:p w14:paraId="73FA4FAD">
      <w:pPr>
        <w:spacing w:line="360" w:lineRule="auto"/>
        <w:rPr>
          <w:rFonts w:eastAsia="等线"/>
          <w:szCs w:val="20"/>
          <w:lang w:val="en-US" w:eastAsia="zh-CN"/>
        </w:rPr>
      </w:pPr>
      <w:bookmarkStart w:id="143" w:name="259869673"/>
      <w:bookmarkEnd w:id="143"/>
      <w:r>
        <w:rPr>
          <w:rFonts w:eastAsia="等线"/>
          <w:b/>
          <w:bCs/>
          <w:szCs w:val="20"/>
          <w:lang w:val="en-US" w:eastAsia="zh-CN"/>
        </w:rPr>
        <w:t>ADHD has been seen to persist into adulthood in about two-thirds of cases</w:t>
      </w:r>
      <w:r>
        <w:rPr>
          <w:rFonts w:eastAsia="等线"/>
          <w:szCs w:val="20"/>
          <w:lang w:val="en-US" w:eastAsia="zh-CN"/>
        </w:rPr>
        <w:t>. Emotional dysfunction with heterogenous presentation in patients with ADHD is a key factor in predicting adverse life events. Long-term sequelae of ADHD include poor peer relationships, poor fine motor control, and increased risk of accidents. Adolescents may develop substance abuse problems as a comorbid condition, but this comorbidity does not seem to be related to treatment of ADHD with stimulants.</w:t>
      </w:r>
    </w:p>
    <w:p w14:paraId="64CF867F">
      <w:pPr>
        <w:spacing w:line="360" w:lineRule="auto"/>
        <w:rPr>
          <w:rFonts w:eastAsia="等线"/>
          <w:b/>
          <w:bCs/>
          <w:szCs w:val="20"/>
          <w:lang w:val="en-US" w:eastAsia="zh-CN"/>
        </w:rPr>
      </w:pPr>
      <w:r>
        <w:rPr>
          <w:rFonts w:eastAsia="等线"/>
          <w:b/>
          <w:bCs/>
          <w:szCs w:val="20"/>
          <w:lang w:val="en-US" w:eastAsia="zh-CN"/>
        </w:rPr>
        <w:t>Case Correlation</w:t>
      </w:r>
    </w:p>
    <w:p w14:paraId="0867B0A6">
      <w:pPr>
        <w:numPr>
          <w:ilvl w:val="0"/>
          <w:numId w:val="40"/>
        </w:numPr>
        <w:spacing w:line="360" w:lineRule="auto"/>
        <w:rPr>
          <w:rFonts w:eastAsia="等线"/>
          <w:szCs w:val="20"/>
          <w:lang w:val="en-US" w:eastAsia="zh-CN"/>
        </w:rPr>
      </w:pPr>
      <w:bookmarkStart w:id="144" w:name="259869674"/>
      <w:bookmarkEnd w:id="144"/>
      <w:bookmarkStart w:id="145" w:name="259869675"/>
      <w:bookmarkEnd w:id="145"/>
      <w:r>
        <w:rPr>
          <w:rFonts w:eastAsia="等线"/>
          <w:szCs w:val="20"/>
          <w:lang w:val="en-US" w:eastAsia="zh-CN"/>
        </w:rPr>
        <w:t>See also Case 43 (Obstructive Sleep Apnea Syndrome) and Case 49 (Adolescent Substance Use Disorder).</w:t>
      </w:r>
    </w:p>
    <w:p w14:paraId="2DCA473B">
      <w:pPr>
        <w:spacing w:line="360" w:lineRule="auto"/>
        <w:rPr>
          <w:rFonts w:eastAsia="等线"/>
          <w:b/>
          <w:bCs/>
          <w:color w:val="FF0000"/>
          <w:szCs w:val="20"/>
          <w:lang w:val="en-US" w:eastAsia="zh-CN"/>
        </w:rPr>
      </w:pPr>
      <w:r>
        <w:rPr>
          <w:rFonts w:eastAsia="等线"/>
          <w:b/>
          <w:bCs/>
          <w:color w:val="FF0000"/>
          <w:szCs w:val="20"/>
          <w:lang w:val="en-US" w:eastAsia="zh-CN"/>
        </w:rPr>
        <w:t>Clinical Pearls</w:t>
      </w:r>
    </w:p>
    <w:p w14:paraId="37B2D46D">
      <w:pPr>
        <w:numPr>
          <w:ilvl w:val="0"/>
          <w:numId w:val="41"/>
        </w:numPr>
        <w:spacing w:line="360" w:lineRule="auto"/>
        <w:rPr>
          <w:rFonts w:eastAsia="等线"/>
          <w:szCs w:val="20"/>
          <w:lang w:val="en-US" w:eastAsia="zh-CN"/>
        </w:rPr>
      </w:pPr>
      <w:r>
        <w:rPr>
          <w:rFonts w:eastAsia="等线"/>
          <w:szCs w:val="20"/>
          <w:lang w:val="en-US" w:eastAsia="zh-CN"/>
        </w:rPr>
        <w:t>Attention deficit hyperactivity disorder (ADHD) is considered in children who have specific behaviors in two or more settings, such as at home and school or work, characterized by inattention and/or hyperactivity-impulsivity.</w:t>
      </w:r>
    </w:p>
    <w:p w14:paraId="628C22F3">
      <w:pPr>
        <w:numPr>
          <w:ilvl w:val="0"/>
          <w:numId w:val="41"/>
        </w:numPr>
        <w:spacing w:line="360" w:lineRule="auto"/>
        <w:rPr>
          <w:rFonts w:eastAsia="等线"/>
          <w:szCs w:val="20"/>
          <w:lang w:val="en-US" w:eastAsia="zh-CN"/>
        </w:rPr>
      </w:pPr>
      <w:r>
        <w:rPr>
          <w:rFonts w:eastAsia="等线"/>
          <w:szCs w:val="20"/>
          <w:lang w:val="en-US" w:eastAsia="zh-CN"/>
        </w:rPr>
        <w:t>Children with ADHD frequently have coexisting psychiatric or learning disorders, including oppositional defiant disorder, conduct disorder, anxiety disorder, and depression.</w:t>
      </w:r>
    </w:p>
    <w:p w14:paraId="3525BDD0">
      <w:pPr>
        <w:numPr>
          <w:ilvl w:val="0"/>
          <w:numId w:val="41"/>
        </w:numPr>
        <w:spacing w:line="360" w:lineRule="auto"/>
        <w:rPr>
          <w:rFonts w:eastAsia="等线"/>
          <w:szCs w:val="20"/>
          <w:lang w:val="en-US" w:eastAsia="zh-CN"/>
        </w:rPr>
      </w:pPr>
      <w:r>
        <w:rPr>
          <w:rFonts w:eastAsia="等线"/>
          <w:szCs w:val="20"/>
          <w:lang w:val="en-US" w:eastAsia="zh-CN"/>
        </w:rPr>
        <w:t>First-line pharmacologic treatment for ADHD is a stimulant, including methylphenidate and amphetamines, which should be used in conjunction with behavioral and educational interventions.</w:t>
      </w:r>
    </w:p>
    <w:p w14:paraId="35049340">
      <w:pPr>
        <w:spacing w:line="360" w:lineRule="auto"/>
        <w:rPr>
          <w:rFonts w:eastAsia="等线"/>
          <w:b/>
          <w:bCs/>
          <w:color w:val="FF0000"/>
          <w:szCs w:val="20"/>
          <w:lang w:val="en-US" w:eastAsia="zh-CN"/>
        </w:rPr>
      </w:pPr>
      <w:r>
        <w:rPr>
          <w:rFonts w:eastAsia="等线"/>
          <w:b/>
          <w:bCs/>
          <w:color w:val="FF0000"/>
          <w:szCs w:val="20"/>
          <w:lang w:val="en-US" w:eastAsia="zh-CN"/>
        </w:rPr>
        <w:t>Case Quiz</w:t>
      </w:r>
    </w:p>
    <w:p w14:paraId="0B91D47F">
      <w:pPr>
        <w:spacing w:line="360" w:lineRule="auto"/>
        <w:rPr>
          <w:rFonts w:eastAsia="等线"/>
          <w:b/>
          <w:bCs/>
          <w:szCs w:val="20"/>
          <w:lang w:val="en-US" w:eastAsia="zh-CN"/>
        </w:rPr>
      </w:pPr>
      <w:r>
        <w:rPr>
          <w:rFonts w:eastAsia="等线"/>
          <w:b/>
          <w:bCs/>
          <w:szCs w:val="20"/>
          <w:lang w:val="en-US" w:eastAsia="zh-CN"/>
        </w:rPr>
        <w:t>Question 1 of 4</w:t>
      </w:r>
    </w:p>
    <w:p w14:paraId="16D5572F">
      <w:pPr>
        <w:rPr>
          <w:rFonts w:ascii="Source Sans Pro" w:hAnsi="Source Sans Pro"/>
          <w:color w:val="333333"/>
          <w:sz w:val="24"/>
          <w:szCs w:val="24"/>
        </w:rPr>
      </w:pPr>
      <w:bookmarkStart w:id="146" w:name="261792106"/>
      <w:bookmarkEnd w:id="146"/>
      <w:r>
        <w:rPr>
          <w:rFonts w:ascii="Source Sans Pro" w:hAnsi="Source Sans Pro"/>
          <w:b/>
          <w:bCs/>
          <w:color w:val="333333"/>
        </w:rPr>
        <w:t>59.1</w:t>
      </w:r>
      <w:bookmarkStart w:id="147" w:name="261792107"/>
      <w:bookmarkEnd w:id="147"/>
      <w:r>
        <w:rPr>
          <w:rFonts w:hint="eastAsia" w:ascii="Source Sans Pro" w:hAnsi="Source Sans Pro"/>
          <w:color w:val="333333"/>
          <w:sz w:val="24"/>
          <w:szCs w:val="24"/>
          <w:lang w:eastAsia="zh-CN"/>
        </w:rPr>
        <w:t xml:space="preserve"> </w:t>
      </w:r>
      <w:r>
        <w:rPr>
          <w:rFonts w:eastAsia="等线"/>
          <w:szCs w:val="20"/>
          <w:lang w:val="en-US" w:eastAsia="zh-CN"/>
        </w:rPr>
        <w:t>An 8-year-old boy presents to the office because his mother is concerned that he has attention deficit hyperactivity disorder (ADHD). At home, he is always restless, never seems to pay attention, and is always losing things. In the clinic, the child is cooperative and has a normal examination. Which of the following is the best next step in management?</w:t>
      </w:r>
    </w:p>
    <w:p w14:paraId="389178A3">
      <w:pPr>
        <w:spacing w:line="360" w:lineRule="auto"/>
        <w:rPr>
          <w:rFonts w:eastAsia="等线"/>
          <w:szCs w:val="20"/>
          <w:lang w:val="en-US" w:eastAsia="zh-CN"/>
        </w:rPr>
      </w:pPr>
      <w:r>
        <w:rPr>
          <w:rFonts w:eastAsia="等线"/>
          <w:szCs w:val="20"/>
          <w:lang w:val="en-US" w:eastAsia="zh-CN"/>
        </w:rPr>
        <w:t> A</w:t>
      </w:r>
      <w:bookmarkStart w:id="148" w:name="261792110"/>
      <w:bookmarkEnd w:id="148"/>
      <w:r>
        <w:rPr>
          <w:rFonts w:hint="eastAsia" w:eastAsia="等线"/>
          <w:szCs w:val="20"/>
          <w:lang w:val="en-US" w:eastAsia="zh-CN"/>
        </w:rPr>
        <w:t xml:space="preserve"> </w:t>
      </w:r>
      <w:r>
        <w:rPr>
          <w:rFonts w:eastAsia="等线"/>
          <w:szCs w:val="20"/>
          <w:lang w:val="en-US" w:eastAsia="zh-CN"/>
        </w:rPr>
        <w:t>Give the child a 2-week trial of stimulant medication</w:t>
      </w:r>
    </w:p>
    <w:p w14:paraId="53FF1B48">
      <w:pPr>
        <w:spacing w:line="360" w:lineRule="auto"/>
        <w:rPr>
          <w:rFonts w:eastAsia="等线"/>
          <w:szCs w:val="20"/>
          <w:lang w:val="en-US" w:eastAsia="zh-CN"/>
        </w:rPr>
      </w:pPr>
      <w:r>
        <w:rPr>
          <w:rFonts w:eastAsia="等线"/>
          <w:szCs w:val="20"/>
          <w:lang w:val="en-US" w:eastAsia="zh-CN"/>
        </w:rPr>
        <w:t> B</w:t>
      </w:r>
      <w:bookmarkStart w:id="149" w:name="261792112"/>
      <w:bookmarkEnd w:id="149"/>
      <w:r>
        <w:rPr>
          <w:rFonts w:hint="eastAsia" w:eastAsia="等线"/>
          <w:szCs w:val="20"/>
          <w:lang w:val="en-US" w:eastAsia="zh-CN"/>
        </w:rPr>
        <w:t xml:space="preserve"> </w:t>
      </w:r>
      <w:r>
        <w:rPr>
          <w:rFonts w:eastAsia="等线"/>
          <w:szCs w:val="20"/>
          <w:lang w:val="en-US" w:eastAsia="zh-CN"/>
        </w:rPr>
        <w:t>Obtain further information from the parents and teachers</w:t>
      </w:r>
    </w:p>
    <w:p w14:paraId="63113F7F">
      <w:pPr>
        <w:spacing w:line="360" w:lineRule="auto"/>
        <w:rPr>
          <w:rFonts w:eastAsia="等线"/>
          <w:szCs w:val="20"/>
          <w:lang w:val="en-US" w:eastAsia="zh-CN"/>
        </w:rPr>
      </w:pPr>
      <w:r>
        <w:rPr>
          <w:rFonts w:eastAsia="等线"/>
          <w:szCs w:val="20"/>
          <w:lang w:val="en-US" w:eastAsia="zh-CN"/>
        </w:rPr>
        <w:t> C</w:t>
      </w:r>
      <w:bookmarkStart w:id="150" w:name="261792114"/>
      <w:bookmarkEnd w:id="150"/>
      <w:r>
        <w:rPr>
          <w:rFonts w:hint="eastAsia" w:eastAsia="等线"/>
          <w:szCs w:val="20"/>
          <w:lang w:val="en-US" w:eastAsia="zh-CN"/>
        </w:rPr>
        <w:t xml:space="preserve"> </w:t>
      </w:r>
      <w:r>
        <w:rPr>
          <w:rFonts w:eastAsia="等线"/>
          <w:szCs w:val="20"/>
          <w:lang w:val="en-US" w:eastAsia="zh-CN"/>
        </w:rPr>
        <w:t>Reassure the child’s mother that this behavior is age appropriate</w:t>
      </w:r>
    </w:p>
    <w:p w14:paraId="3BA9BDE6">
      <w:pPr>
        <w:spacing w:line="360" w:lineRule="auto"/>
        <w:rPr>
          <w:rFonts w:eastAsia="等线"/>
          <w:szCs w:val="20"/>
          <w:lang w:val="en-US" w:eastAsia="zh-CN"/>
        </w:rPr>
      </w:pPr>
      <w:r>
        <w:rPr>
          <w:rFonts w:eastAsia="等线"/>
          <w:szCs w:val="20"/>
          <w:lang w:val="en-US" w:eastAsia="zh-CN"/>
        </w:rPr>
        <w:t> D</w:t>
      </w:r>
      <w:bookmarkStart w:id="151" w:name="261792116"/>
      <w:bookmarkEnd w:id="151"/>
      <w:r>
        <w:rPr>
          <w:rFonts w:hint="eastAsia" w:eastAsia="等线"/>
          <w:szCs w:val="20"/>
          <w:lang w:val="en-US" w:eastAsia="zh-CN"/>
        </w:rPr>
        <w:t xml:space="preserve"> </w:t>
      </w:r>
      <w:r>
        <w:rPr>
          <w:rFonts w:eastAsia="等线"/>
          <w:szCs w:val="20"/>
          <w:lang w:val="en-US" w:eastAsia="zh-CN"/>
        </w:rPr>
        <w:t>Send the child for psychological assessment</w:t>
      </w:r>
    </w:p>
    <w:p w14:paraId="2D1B06A0">
      <w:pPr>
        <w:spacing w:line="360" w:lineRule="auto"/>
        <w:rPr>
          <w:rFonts w:eastAsia="等线"/>
          <w:szCs w:val="20"/>
          <w:lang w:val="en-US" w:eastAsia="zh-CN"/>
        </w:rPr>
      </w:pPr>
      <w:r>
        <w:rPr>
          <w:rFonts w:eastAsia="等线"/>
          <w:szCs w:val="20"/>
          <w:lang w:val="en-US" w:eastAsia="zh-CN"/>
        </w:rPr>
        <w:t> E</w:t>
      </w:r>
      <w:bookmarkStart w:id="152" w:name="261792118"/>
      <w:bookmarkEnd w:id="152"/>
      <w:r>
        <w:rPr>
          <w:rFonts w:hint="eastAsia" w:eastAsia="等线"/>
          <w:szCs w:val="20"/>
          <w:lang w:val="en-US" w:eastAsia="zh-CN"/>
        </w:rPr>
        <w:t xml:space="preserve"> </w:t>
      </w:r>
      <w:r>
        <w:rPr>
          <w:rFonts w:eastAsia="等线"/>
          <w:szCs w:val="20"/>
          <w:lang w:val="en-US" w:eastAsia="zh-CN"/>
        </w:rPr>
        <w:t>Send the child for psychiatric evaluation</w:t>
      </w:r>
    </w:p>
    <w:p w14:paraId="13A61B05">
      <w:pPr>
        <w:spacing w:line="360" w:lineRule="auto"/>
        <w:rPr>
          <w:rFonts w:eastAsia="等线"/>
          <w:szCs w:val="20"/>
          <w:lang w:val="en-US" w:eastAsia="zh-CN"/>
        </w:rPr>
      </w:pPr>
      <w:r>
        <w:rPr>
          <w:rFonts w:eastAsia="等线"/>
          <w:szCs w:val="20"/>
          <w:lang w:val="en-US" w:eastAsia="zh-CN"/>
        </w:rPr>
        <w:t>The correct answer is </w:t>
      </w:r>
      <w:r>
        <w:rPr>
          <w:rFonts w:eastAsia="等线"/>
          <w:b/>
          <w:bCs/>
          <w:szCs w:val="20"/>
          <w:lang w:val="en-US" w:eastAsia="zh-CN"/>
        </w:rPr>
        <w:t>B</w:t>
      </w:r>
      <w:r>
        <w:rPr>
          <w:rFonts w:eastAsia="等线"/>
          <w:szCs w:val="20"/>
          <w:lang w:val="en-US" w:eastAsia="zh-CN"/>
        </w:rPr>
        <w:t>. You answered </w:t>
      </w:r>
      <w:r>
        <w:rPr>
          <w:rFonts w:eastAsia="等线"/>
          <w:b/>
          <w:bCs/>
          <w:szCs w:val="20"/>
          <w:lang w:val="en-US" w:eastAsia="zh-CN"/>
        </w:rPr>
        <w:t>E</w:t>
      </w:r>
      <w:r>
        <w:rPr>
          <w:rFonts w:eastAsia="等线"/>
          <w:szCs w:val="20"/>
          <w:lang w:val="en-US" w:eastAsia="zh-CN"/>
        </w:rPr>
        <w:t>.</w:t>
      </w:r>
    </w:p>
    <w:p w14:paraId="66675805">
      <w:pPr>
        <w:spacing w:line="360" w:lineRule="auto"/>
        <w:rPr>
          <w:rFonts w:eastAsia="等线"/>
          <w:szCs w:val="20"/>
          <w:lang w:val="en-US" w:eastAsia="zh-CN"/>
        </w:rPr>
      </w:pPr>
      <w:r>
        <w:rPr>
          <w:rFonts w:eastAsia="等线"/>
          <w:b/>
          <w:bCs/>
          <w:szCs w:val="20"/>
          <w:lang w:val="en-US" w:eastAsia="zh-CN"/>
        </w:rPr>
        <w:t>Explanation:</w:t>
      </w:r>
      <w:bookmarkStart w:id="153" w:name="261792120"/>
      <w:bookmarkEnd w:id="153"/>
    </w:p>
    <w:p w14:paraId="25A8A36A">
      <w:pPr>
        <w:spacing w:line="360" w:lineRule="auto"/>
        <w:rPr>
          <w:rFonts w:eastAsia="等线"/>
          <w:szCs w:val="20"/>
          <w:lang w:val="en-US" w:eastAsia="zh-CN"/>
        </w:rPr>
      </w:pPr>
      <w:r>
        <w:rPr>
          <w:rFonts w:eastAsia="等线"/>
          <w:b/>
          <w:bCs/>
          <w:szCs w:val="20"/>
          <w:lang w:val="en-US" w:eastAsia="zh-CN"/>
        </w:rPr>
        <w:t>B. Obtain further information from the parents and teachers.</w:t>
      </w:r>
      <w:r>
        <w:rPr>
          <w:rFonts w:eastAsia="等线"/>
          <w:szCs w:val="20"/>
          <w:lang w:val="en-US" w:eastAsia="zh-CN"/>
        </w:rPr>
        <w:t> A physical examination (with emphasis on the neurologic component) is completed to identify any soft signs of neurologic conditions. If none are found, he should undergo an ADHD evaluation with ADHD-specific behavior information obtained from caregivers and teachers. A diagnosis is considered if he has ADHD-specific behaviors in two or more settings. His ability to maintain focus during a brief visit to your clinic does not preclude the diagnosis of ADHD. A trial of stimulant therapy (answer A) is not appropriate and should only be given when the diagnosis is made. Reassurance that the behavior is normal (answer C) is not correct since this child could have ADHD. Psychological (answer D) or psychiatric evaluation (answer E) is not needed to make a diagnosis of ADHD.</w:t>
      </w:r>
    </w:p>
    <w:p w14:paraId="06E16968">
      <w:pPr>
        <w:spacing w:line="360" w:lineRule="auto"/>
        <w:rPr>
          <w:rFonts w:eastAsia="等线"/>
          <w:b/>
          <w:bCs/>
          <w:color w:val="FF0000"/>
          <w:szCs w:val="20"/>
          <w:lang w:val="en-US" w:eastAsia="zh-CN"/>
        </w:rPr>
      </w:pPr>
      <w:r>
        <w:rPr>
          <w:rFonts w:eastAsia="等线"/>
          <w:b/>
          <w:bCs/>
          <w:color w:val="FF0000"/>
          <w:szCs w:val="20"/>
          <w:lang w:val="en-US" w:eastAsia="zh-CN"/>
        </w:rPr>
        <w:t>References</w:t>
      </w:r>
    </w:p>
    <w:p w14:paraId="4C3616F0">
      <w:pPr>
        <w:spacing w:line="360" w:lineRule="auto"/>
        <w:rPr>
          <w:rFonts w:eastAsia="等线"/>
          <w:szCs w:val="20"/>
          <w:lang w:val="en-US" w:eastAsia="zh-CN"/>
        </w:rPr>
      </w:pPr>
      <w:r>
        <w:rPr>
          <w:rFonts w:eastAsia="等线"/>
          <w:szCs w:val="20"/>
          <w:lang w:val="en-US" w:eastAsia="zh-CN"/>
        </w:rPr>
        <w:t>American Academy of Pediatrics. Clinical practice guideline: diagnosis and evaluation of the child with attention-deficit/hyperactivity disorder. </w:t>
      </w:r>
      <w:r>
        <w:rPr>
          <w:rFonts w:eastAsia="等线"/>
          <w:i/>
          <w:iCs/>
          <w:szCs w:val="20"/>
          <w:lang w:val="en-US" w:eastAsia="zh-CN"/>
        </w:rPr>
        <w:t>Pediatrics.</w:t>
      </w:r>
      <w:r>
        <w:rPr>
          <w:rFonts w:eastAsia="等线"/>
          <w:szCs w:val="20"/>
          <w:lang w:val="en-US" w:eastAsia="zh-CN"/>
        </w:rPr>
        <w:t> 2000;105:1158–1170.</w:t>
      </w:r>
    </w:p>
    <w:p w14:paraId="521AD6E5">
      <w:pPr>
        <w:spacing w:line="360" w:lineRule="auto"/>
        <w:rPr>
          <w:rFonts w:eastAsia="等线"/>
          <w:szCs w:val="20"/>
          <w:lang w:val="en-US" w:eastAsia="zh-CN"/>
        </w:rPr>
      </w:pPr>
      <w:bookmarkStart w:id="154" w:name="casefiles.pediatrics6e_cs59rf71"/>
      <w:bookmarkEnd w:id="154"/>
      <w:r>
        <w:rPr>
          <w:rFonts w:eastAsia="等线"/>
          <w:szCs w:val="20"/>
          <w:lang w:val="en-US" w:eastAsia="zh-CN"/>
        </w:rPr>
        <w:t>American Academy of Pediatrics. Clinical practice guideline: treatment of the school-aged child with attention-deficit/hyperactivity disorder. </w:t>
      </w:r>
      <w:r>
        <w:rPr>
          <w:rFonts w:eastAsia="等线"/>
          <w:i/>
          <w:iCs/>
          <w:szCs w:val="20"/>
          <w:lang w:val="en-US" w:eastAsia="zh-CN"/>
        </w:rPr>
        <w:t>Pediatrics</w:t>
      </w:r>
      <w:r>
        <w:rPr>
          <w:rFonts w:eastAsia="等线"/>
          <w:szCs w:val="20"/>
          <w:lang w:val="en-US" w:eastAsia="zh-CN"/>
        </w:rPr>
        <w:t>. 2001;108:1033–1044.</w:t>
      </w:r>
    </w:p>
    <w:p w14:paraId="6AB2E3A2">
      <w:pPr>
        <w:spacing w:line="360" w:lineRule="auto"/>
        <w:rPr>
          <w:rFonts w:eastAsia="等线"/>
          <w:szCs w:val="20"/>
          <w:lang w:val="en-US" w:eastAsia="zh-CN"/>
        </w:rPr>
      </w:pPr>
      <w:bookmarkStart w:id="155" w:name="casefiles.pediatrics6e_cs59rf72"/>
      <w:bookmarkEnd w:id="155"/>
      <w:r>
        <w:rPr>
          <w:rFonts w:eastAsia="等线"/>
          <w:szCs w:val="20"/>
          <w:lang w:val="en-US" w:eastAsia="zh-CN"/>
        </w:rPr>
        <w:t>American Psychiatric Association. </w:t>
      </w:r>
      <w:r>
        <w:rPr>
          <w:rFonts w:eastAsia="等线"/>
          <w:i/>
          <w:iCs/>
          <w:szCs w:val="20"/>
          <w:lang w:val="en-US" w:eastAsia="zh-CN"/>
        </w:rPr>
        <w:t>Diagnostic and Statistical Manual of Mental Disorders</w:t>
      </w:r>
      <w:r>
        <w:rPr>
          <w:rFonts w:eastAsia="等线"/>
          <w:szCs w:val="20"/>
          <w:lang w:val="en-US" w:eastAsia="zh-CN"/>
        </w:rPr>
        <w:t>. 5th ed. Arlington, VA: American Psychiatric Association; 2013.</w:t>
      </w:r>
    </w:p>
    <w:p w14:paraId="6BD3B2E3">
      <w:pPr>
        <w:spacing w:line="360" w:lineRule="auto"/>
        <w:rPr>
          <w:rFonts w:eastAsia="等线"/>
          <w:szCs w:val="20"/>
          <w:lang w:val="en-US" w:eastAsia="zh-CN"/>
        </w:rPr>
      </w:pPr>
      <w:bookmarkStart w:id="156" w:name="casefiles.pediatrics6e_cs59rf73"/>
      <w:bookmarkEnd w:id="156"/>
      <w:r>
        <w:rPr>
          <w:rFonts w:eastAsia="等线"/>
          <w:szCs w:val="20"/>
          <w:lang w:val="en-US" w:eastAsia="zh-CN"/>
        </w:rPr>
        <w:t>Cutting  LE, Mostofsky  SH, Denckla  MB. School difficulties. In: McMillan  JA, Feigin  RD, DeAngelis  CD, Jones  MD, eds. </w:t>
      </w:r>
      <w:r>
        <w:rPr>
          <w:rFonts w:eastAsia="等线"/>
          <w:i/>
          <w:iCs/>
          <w:szCs w:val="20"/>
          <w:lang w:val="en-US" w:eastAsia="zh-CN"/>
        </w:rPr>
        <w:t>Oski’s Pediatrics: Principles and Practice</w:t>
      </w:r>
      <w:r>
        <w:rPr>
          <w:rFonts w:eastAsia="等线"/>
          <w:szCs w:val="20"/>
          <w:lang w:val="en-US" w:eastAsia="zh-CN"/>
        </w:rPr>
        <w:t>. 4th ed. Philadelphia, PA: Lippincott Williams &amp; Wilkins; 2006:674–680.</w:t>
      </w:r>
    </w:p>
    <w:p w14:paraId="3382A407">
      <w:pPr>
        <w:spacing w:line="360" w:lineRule="auto"/>
        <w:rPr>
          <w:rFonts w:eastAsia="等线"/>
          <w:szCs w:val="20"/>
          <w:lang w:val="en-US" w:eastAsia="zh-CN"/>
        </w:rPr>
      </w:pPr>
      <w:bookmarkStart w:id="157" w:name="casefiles.pediatrics6e_cs59rf74"/>
      <w:bookmarkEnd w:id="157"/>
      <w:r>
        <w:rPr>
          <w:rFonts w:eastAsia="等线"/>
          <w:szCs w:val="20"/>
          <w:lang w:val="en-US" w:eastAsia="zh-CN"/>
        </w:rPr>
        <w:t>Faraone  S. The pharmacology of amphetamine and methylphenidate: relevance to the neurobiology of attention-deficit/hyperactivity disorder and other psychiatric comorbidities. </w:t>
      </w:r>
      <w:r>
        <w:rPr>
          <w:rFonts w:eastAsia="等线"/>
          <w:i/>
          <w:iCs/>
          <w:szCs w:val="20"/>
          <w:lang w:val="en-US" w:eastAsia="zh-CN"/>
        </w:rPr>
        <w:t>Neurosci Biobehav Rev.</w:t>
      </w:r>
      <w:r>
        <w:rPr>
          <w:rFonts w:eastAsia="等线"/>
          <w:szCs w:val="20"/>
          <w:lang w:val="en-US" w:eastAsia="zh-CN"/>
        </w:rPr>
        <w:t> 2018;87:255–270.</w:t>
      </w:r>
    </w:p>
    <w:p w14:paraId="35DB7A3C">
      <w:pPr>
        <w:spacing w:line="360" w:lineRule="auto"/>
        <w:rPr>
          <w:rFonts w:eastAsia="等线"/>
          <w:szCs w:val="20"/>
          <w:lang w:val="en-US" w:eastAsia="zh-CN"/>
        </w:rPr>
      </w:pPr>
      <w:bookmarkStart w:id="158" w:name="casefiles.pediatrics6e_cs59rf75"/>
      <w:bookmarkEnd w:id="158"/>
      <w:r>
        <w:rPr>
          <w:rFonts w:eastAsia="等线"/>
          <w:szCs w:val="20"/>
          <w:lang w:val="en-US" w:eastAsia="zh-CN"/>
        </w:rPr>
        <w:t>Krull  KR. Attention deficit hyperactivity disorder in children and adolescents: overview of treatment and prognosis. Augustyn  M, ed. UpToDate. Waltham, MA: UpToDate Inc. 2019. </w:t>
      </w:r>
      <w:r>
        <w:fldChar w:fldCharType="begin"/>
      </w:r>
      <w:r>
        <w:instrText xml:space="preserve"> HYPERLINK "https://www.uptodate.com/" \t "_blank" </w:instrText>
      </w:r>
      <w:r>
        <w:fldChar w:fldCharType="separate"/>
      </w:r>
      <w:r>
        <w:rPr>
          <w:rStyle w:val="17"/>
          <w:rFonts w:eastAsia="等线"/>
          <w:szCs w:val="20"/>
          <w:lang w:val="en-US" w:eastAsia="zh-CN"/>
        </w:rPr>
        <w:t>https://www.uptodate.com</w:t>
      </w:r>
      <w:r>
        <w:rPr>
          <w:rStyle w:val="17"/>
          <w:rFonts w:eastAsia="等线"/>
          <w:szCs w:val="20"/>
          <w:lang w:val="en-US" w:eastAsia="zh-CN"/>
        </w:rPr>
        <w:fldChar w:fldCharType="end"/>
      </w:r>
      <w:r>
        <w:rPr>
          <w:rFonts w:eastAsia="等线"/>
          <w:szCs w:val="20"/>
          <w:lang w:val="en-US" w:eastAsia="zh-CN"/>
        </w:rPr>
        <w:t>. Accessed on February 2, 2020.</w:t>
      </w:r>
    </w:p>
    <w:p w14:paraId="3FED1388">
      <w:pPr>
        <w:spacing w:line="360" w:lineRule="auto"/>
        <w:rPr>
          <w:rFonts w:eastAsia="等线"/>
          <w:szCs w:val="20"/>
          <w:lang w:val="en-US" w:eastAsia="zh-CN"/>
        </w:rPr>
      </w:pPr>
      <w:bookmarkStart w:id="159" w:name="casefiles.pediatrics6e_cs59rf76"/>
      <w:bookmarkEnd w:id="159"/>
      <w:r>
        <w:rPr>
          <w:rFonts w:eastAsia="等线"/>
          <w:szCs w:val="20"/>
          <w:lang w:val="en-US" w:eastAsia="zh-CN"/>
        </w:rPr>
        <w:t>Rodrigues-D’Souza  RS. Attention-deficit/hyperactivity disorder. In: Kline  MW, Blaney  SM, Giardino  AP,  et al, eds. </w:t>
      </w:r>
      <w:r>
        <w:rPr>
          <w:rFonts w:eastAsia="等线"/>
          <w:i/>
          <w:iCs/>
          <w:szCs w:val="20"/>
          <w:lang w:val="en-US" w:eastAsia="zh-CN"/>
        </w:rPr>
        <w:t>Rudolph’s Pediatrics</w:t>
      </w:r>
      <w:r>
        <w:rPr>
          <w:rFonts w:eastAsia="等线"/>
          <w:szCs w:val="20"/>
          <w:lang w:val="en-US" w:eastAsia="zh-CN"/>
        </w:rPr>
        <w:t>. 23rd ed. New York, NY: McGraw-Hill; 2018:387–393.</w:t>
      </w:r>
    </w:p>
    <w:p w14:paraId="05132A0B">
      <w:pPr>
        <w:spacing w:line="360" w:lineRule="auto"/>
        <w:rPr>
          <w:rFonts w:eastAsia="等线"/>
          <w:szCs w:val="20"/>
          <w:lang w:val="en-US" w:eastAsia="zh-CN"/>
        </w:rPr>
      </w:pPr>
      <w:bookmarkStart w:id="160" w:name="casefiles.pediatrics6e_cs59rf77"/>
      <w:bookmarkEnd w:id="160"/>
      <w:r>
        <w:rPr>
          <w:rFonts w:eastAsia="等线"/>
          <w:szCs w:val="20"/>
          <w:lang w:val="en-US" w:eastAsia="zh-CN"/>
        </w:rPr>
        <w:t>Urion  DK. Attention-deficit/hyperactivity disorder. In: Kliegman  RM, Stanton  BF, St. Geme  JW, Schor  NF, Behrman  RE, eds. </w:t>
      </w:r>
      <w:r>
        <w:rPr>
          <w:rFonts w:eastAsia="等线"/>
          <w:i/>
          <w:iCs/>
          <w:szCs w:val="20"/>
          <w:lang w:val="en-US" w:eastAsia="zh-CN"/>
        </w:rPr>
        <w:t>Nelson Textbook of Pediatrics</w:t>
      </w:r>
      <w:r>
        <w:rPr>
          <w:rFonts w:eastAsia="等线"/>
          <w:szCs w:val="20"/>
          <w:lang w:val="en-US" w:eastAsia="zh-CN"/>
        </w:rPr>
        <w:t>. 21st ed. Philadelphia, PA: WB Saunders; 2020:262–266.</w:t>
      </w:r>
    </w:p>
    <w:p w14:paraId="4B408F1C">
      <w:pPr>
        <w:spacing w:line="360" w:lineRule="auto"/>
        <w:rPr>
          <w:rFonts w:eastAsia="等线"/>
          <w:szCs w:val="20"/>
          <w:lang w:val="en-US" w:eastAsia="zh-CN"/>
        </w:rPr>
      </w:pPr>
      <w:bookmarkStart w:id="161" w:name="casefiles.pediatrics6e_cs59rf78"/>
      <w:bookmarkEnd w:id="161"/>
      <w:r>
        <w:rPr>
          <w:rFonts w:eastAsia="等线"/>
          <w:szCs w:val="20"/>
          <w:lang w:val="en-US" w:eastAsia="zh-CN"/>
        </w:rPr>
        <w:t>Yoshimasu  K, Barbaresi  WJ, Colligan  RC,  et al. Childhood ADHD is strongly associated with a broad range of psychiatric disorders during adolescence: a population-based birth cohort study. </w:t>
      </w:r>
      <w:r>
        <w:rPr>
          <w:rFonts w:eastAsia="等线"/>
          <w:i/>
          <w:iCs/>
          <w:szCs w:val="20"/>
          <w:lang w:val="en-US" w:eastAsia="zh-CN"/>
        </w:rPr>
        <w:t>J Child Psychol Psychiatr</w:t>
      </w:r>
      <w:r>
        <w:rPr>
          <w:rFonts w:eastAsia="等线"/>
          <w:szCs w:val="20"/>
          <w:lang w:val="en-US" w:eastAsia="zh-CN"/>
        </w:rPr>
        <w:t>. 2012;53(10):1036–1043.</w:t>
      </w:r>
    </w:p>
    <w:p w14:paraId="45966F2A">
      <w:pPr>
        <w:spacing w:line="360" w:lineRule="auto"/>
        <w:rPr>
          <w:rFonts w:eastAsia="等线"/>
          <w:b/>
          <w:bCs/>
          <w:color w:val="FF0000"/>
          <w:szCs w:val="20"/>
          <w:lang w:val="en-US" w:eastAsia="zh-CN"/>
        </w:rPr>
      </w:pPr>
      <w:r>
        <w:rPr>
          <w:rFonts w:eastAsia="等线"/>
          <w:b/>
          <w:bCs/>
          <w:color w:val="FF0000"/>
          <w:szCs w:val="20"/>
          <w:lang w:val="en-US" w:eastAsia="zh-CN"/>
        </w:rPr>
        <w:t>Works Cited</w:t>
      </w:r>
    </w:p>
    <w:p w14:paraId="37336597">
      <w:pPr>
        <w:spacing w:line="360" w:lineRule="auto"/>
        <w:rPr>
          <w:rFonts w:eastAsia="等线"/>
          <w:b/>
          <w:bCs/>
          <w:color w:val="FF0000"/>
          <w:szCs w:val="20"/>
          <w:lang w:val="en-US" w:eastAsia="zh-CN"/>
        </w:rPr>
      </w:pPr>
      <w:r>
        <w:rPr>
          <w:rFonts w:eastAsia="等线"/>
          <w:b/>
          <w:bCs/>
          <w:color w:val="FF0000"/>
          <w:szCs w:val="20"/>
          <w:lang w:val="en-US" w:eastAsia="zh-CN"/>
        </w:rPr>
        <w:t>Further Reading</w:t>
      </w:r>
    </w:p>
    <w:p w14:paraId="49CD28B2">
      <w:pPr>
        <w:spacing w:line="360" w:lineRule="auto"/>
        <w:rPr>
          <w:rFonts w:eastAsia="等线"/>
          <w:b/>
          <w:bCs/>
          <w:color w:val="FF0000"/>
          <w:szCs w:val="20"/>
          <w:lang w:eastAsia="zh-CN"/>
        </w:rPr>
      </w:pPr>
      <w:r>
        <w:rPr>
          <w:rFonts w:eastAsia="等线"/>
          <w:b/>
          <w:bCs/>
          <w:color w:val="FF0000"/>
          <w:szCs w:val="20"/>
          <w:lang w:eastAsia="zh-CN"/>
        </w:rPr>
        <w:t>Author and Acknowledgements</w:t>
      </w:r>
    </w:p>
    <w:p w14:paraId="5E9F2282">
      <w:pPr>
        <w:spacing w:line="360" w:lineRule="auto"/>
        <w:rPr>
          <w:rFonts w:eastAsia="等线"/>
          <w:b/>
          <w:bCs/>
          <w:color w:val="FF0000"/>
          <w:szCs w:val="20"/>
          <w:lang w:eastAsia="zh-CN"/>
        </w:rPr>
      </w:pPr>
      <w:r>
        <w:rPr>
          <w:rFonts w:eastAsia="等线"/>
          <w:b/>
          <w:bCs/>
          <w:color w:val="FF0000"/>
          <w:szCs w:val="20"/>
          <w:lang w:eastAsia="zh-CN"/>
        </w:rPr>
        <w:t>About the Author</w:t>
      </w:r>
    </w:p>
    <w:p w14:paraId="19FBBA02">
      <w:pPr>
        <w:spacing w:line="360" w:lineRule="auto"/>
        <w:rPr>
          <w:rFonts w:eastAsia="等线"/>
          <w:b/>
          <w:bCs/>
          <w:color w:val="FF0000"/>
          <w:szCs w:val="20"/>
          <w:lang w:eastAsia="zh-CN"/>
        </w:rPr>
      </w:pPr>
      <w:r>
        <w:rPr>
          <w:rFonts w:eastAsia="等线"/>
          <w:b/>
          <w:bCs/>
          <w:color w:val="FF0000"/>
          <w:szCs w:val="20"/>
          <w:lang w:eastAsia="zh-CN"/>
        </w:rPr>
        <w:t>Acknowledgements</w:t>
      </w:r>
    </w:p>
    <w:p w14:paraId="25F472F4">
      <w:pPr>
        <w:spacing w:line="360" w:lineRule="auto"/>
        <w:rPr>
          <w:rFonts w:hint="eastAsia" w:eastAsia="等线"/>
          <w:szCs w:val="20"/>
          <w:lang w:val="en-US" w:eastAsia="zh-CN"/>
        </w:rPr>
      </w:pPr>
      <w:r>
        <w:rPr>
          <w:rFonts w:eastAsia="等线"/>
          <w:szCs w:val="20"/>
          <w:lang w:eastAsia="zh-CN"/>
        </w:rPr>
        <w:t>The clerkship curriculum that evolved into the ideas for this edition was inspired by two talented and forthright students, Philbert Yao and Chuck Rosipal, who have since graduated from medical school. It has been a tremendous joy to work with the excellent pediatricians at the McGovern Medical School at the University of Texas Health Science Center (UTHealth) at Houston. I am greatly indebted to my editor, Bob Boehringer, whose experience and vision helped to shape this series. I appreciate McGraw Hill’s believing in the concept of teaching through clinical cases, and I would like to especially acknowledge Catherine Saggese for her production expertise, Madison Tucky for her editorial guidance, and Revathi Viswanathan for her excellent production skills. At the McGovern Medical School at Houston, I appreciate Dr. Barbara Stoll, our recently retired Dean, for her support. Without the encouragement from my chairman Dr. Sean Blackwell, a wonderful clinician, administrator, scientist, and leader, and Dr. Patricia Butler, Vice Dean for Educational Programs, who inspires us all to be excellent educators, I could not have succeeded in this endeavor. Two medical students—Joy Davis and Heba Ahmad—were instrumental in providing excellent feedback and recommendations. I continue to marvel at my daughter Allison’s amazing intellectual, clinical, and writing ability, effortlessly elevating the quality of our Case Files manuscripts. Most of all, I appreciate my ever-loving wife Terri, and my four wonderful children Andy and his wife Anna, Michael and his wife Nadine, Allison, and Christina and her husband Andy, for their patience and understanding in the writing process.</w:t>
      </w:r>
    </w:p>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游明朝">
    <w:altName w:val="Calibri"/>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Source Sans Pro">
    <w:altName w:val="Calibri"/>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7D4700"/>
    <w:multiLevelType w:val="multilevel"/>
    <w:tmpl w:val="017D470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08BD77EA"/>
    <w:multiLevelType w:val="multilevel"/>
    <w:tmpl w:val="08BD77E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0A1619FB"/>
    <w:multiLevelType w:val="multilevel"/>
    <w:tmpl w:val="0A1619F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0D4D7BCD"/>
    <w:multiLevelType w:val="multilevel"/>
    <w:tmpl w:val="0D4D7BC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0DCE4217"/>
    <w:multiLevelType w:val="multilevel"/>
    <w:tmpl w:val="0DCE421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0E592DBF"/>
    <w:multiLevelType w:val="multilevel"/>
    <w:tmpl w:val="0E592DB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0EA8717A"/>
    <w:multiLevelType w:val="multilevel"/>
    <w:tmpl w:val="0EA871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20460CE"/>
    <w:multiLevelType w:val="multilevel"/>
    <w:tmpl w:val="120460CE"/>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1D8F783C"/>
    <w:multiLevelType w:val="singleLevel"/>
    <w:tmpl w:val="1D8F783C"/>
    <w:lvl w:ilvl="0" w:tentative="0">
      <w:start w:val="1"/>
      <w:numFmt w:val="bullet"/>
      <w:lvlText w:val=""/>
      <w:lvlJc w:val="left"/>
      <w:pPr>
        <w:ind w:left="420" w:hanging="420"/>
      </w:pPr>
      <w:rPr>
        <w:rFonts w:hint="default" w:ascii="Wingdings" w:hAnsi="Wingdings"/>
      </w:rPr>
    </w:lvl>
  </w:abstractNum>
  <w:abstractNum w:abstractNumId="9">
    <w:nsid w:val="25DC21FF"/>
    <w:multiLevelType w:val="multilevel"/>
    <w:tmpl w:val="25DC21F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262345DC"/>
    <w:multiLevelType w:val="multilevel"/>
    <w:tmpl w:val="262345D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27F35B05"/>
    <w:multiLevelType w:val="multilevel"/>
    <w:tmpl w:val="27F35B0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28C556BA"/>
    <w:multiLevelType w:val="multilevel"/>
    <w:tmpl w:val="28C556B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29CE04DB"/>
    <w:multiLevelType w:val="multilevel"/>
    <w:tmpl w:val="29CE04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16474C"/>
    <w:multiLevelType w:val="multilevel"/>
    <w:tmpl w:val="3116474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31664304"/>
    <w:multiLevelType w:val="multilevel"/>
    <w:tmpl w:val="3166430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6">
    <w:nsid w:val="31AA7FE1"/>
    <w:multiLevelType w:val="multilevel"/>
    <w:tmpl w:val="31AA7FE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7">
    <w:nsid w:val="38A854FA"/>
    <w:multiLevelType w:val="multilevel"/>
    <w:tmpl w:val="38A854FA"/>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3C665EBB"/>
    <w:multiLevelType w:val="multilevel"/>
    <w:tmpl w:val="3C665EB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9">
    <w:nsid w:val="41A047B6"/>
    <w:multiLevelType w:val="multilevel"/>
    <w:tmpl w:val="41A047B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69D37DB"/>
    <w:multiLevelType w:val="multilevel"/>
    <w:tmpl w:val="469D37D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1">
    <w:nsid w:val="489A7A25"/>
    <w:multiLevelType w:val="multilevel"/>
    <w:tmpl w:val="489A7A2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2">
    <w:nsid w:val="48DA0DF2"/>
    <w:multiLevelType w:val="multilevel"/>
    <w:tmpl w:val="48DA0DF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498D5F69"/>
    <w:multiLevelType w:val="multilevel"/>
    <w:tmpl w:val="498D5F6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4">
    <w:nsid w:val="4A206AA0"/>
    <w:multiLevelType w:val="multilevel"/>
    <w:tmpl w:val="4A206AA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5">
    <w:nsid w:val="4A6E285E"/>
    <w:multiLevelType w:val="multilevel"/>
    <w:tmpl w:val="4A6E28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6">
    <w:nsid w:val="4F5705F7"/>
    <w:multiLevelType w:val="multilevel"/>
    <w:tmpl w:val="4F5705F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7">
    <w:nsid w:val="4FD031D9"/>
    <w:multiLevelType w:val="multilevel"/>
    <w:tmpl w:val="4FD031D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8">
    <w:nsid w:val="50EB7DE6"/>
    <w:multiLevelType w:val="multilevel"/>
    <w:tmpl w:val="50EB7DE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9">
    <w:nsid w:val="52210823"/>
    <w:multiLevelType w:val="multilevel"/>
    <w:tmpl w:val="522108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0">
    <w:nsid w:val="53F10415"/>
    <w:multiLevelType w:val="multilevel"/>
    <w:tmpl w:val="53F1041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1">
    <w:nsid w:val="58421F40"/>
    <w:multiLevelType w:val="multilevel"/>
    <w:tmpl w:val="58421F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596F3024"/>
    <w:multiLevelType w:val="multilevel"/>
    <w:tmpl w:val="596F302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3">
    <w:nsid w:val="5A82038D"/>
    <w:multiLevelType w:val="multilevel"/>
    <w:tmpl w:val="5A82038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4">
    <w:nsid w:val="5ADF5CC5"/>
    <w:multiLevelType w:val="multilevel"/>
    <w:tmpl w:val="5ADF5CC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5">
    <w:nsid w:val="5BB04730"/>
    <w:multiLevelType w:val="multilevel"/>
    <w:tmpl w:val="5BB047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617D3279"/>
    <w:multiLevelType w:val="multilevel"/>
    <w:tmpl w:val="617D32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708C7D9C"/>
    <w:multiLevelType w:val="multilevel"/>
    <w:tmpl w:val="708C7D9C"/>
    <w:lvl w:ilvl="0" w:tentative="0">
      <w:start w:val="0"/>
      <w:numFmt w:val="bullet"/>
      <w:lvlText w:val="•"/>
      <w:lvlJc w:val="left"/>
      <w:pPr>
        <w:ind w:left="720" w:hanging="360"/>
      </w:pPr>
      <w:rPr>
        <w:rFonts w:hint="default" w:ascii="Calibri" w:hAnsi="Calibri" w:eastAsia="Times New Roman"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751E47BC"/>
    <w:multiLevelType w:val="multilevel"/>
    <w:tmpl w:val="751E47B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9">
    <w:nsid w:val="76CE1DA5"/>
    <w:multiLevelType w:val="multilevel"/>
    <w:tmpl w:val="76CE1DA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0">
    <w:nsid w:val="7782025E"/>
    <w:multiLevelType w:val="multilevel"/>
    <w:tmpl w:val="778202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37"/>
  </w:num>
  <w:num w:numId="2">
    <w:abstractNumId w:val="19"/>
  </w:num>
  <w:num w:numId="3">
    <w:abstractNumId w:val="31"/>
  </w:num>
  <w:num w:numId="4">
    <w:abstractNumId w:val="7"/>
  </w:num>
  <w:num w:numId="5">
    <w:abstractNumId w:val="6"/>
  </w:num>
  <w:num w:numId="6">
    <w:abstractNumId w:val="36"/>
  </w:num>
  <w:num w:numId="7">
    <w:abstractNumId w:val="8"/>
  </w:num>
  <w:num w:numId="8">
    <w:abstractNumId w:val="35"/>
  </w:num>
  <w:num w:numId="9">
    <w:abstractNumId w:val="13"/>
  </w:num>
  <w:num w:numId="10">
    <w:abstractNumId w:val="30"/>
  </w:num>
  <w:num w:numId="11">
    <w:abstractNumId w:val="39"/>
  </w:num>
  <w:num w:numId="12">
    <w:abstractNumId w:val="21"/>
  </w:num>
  <w:num w:numId="13">
    <w:abstractNumId w:val="0"/>
  </w:num>
  <w:num w:numId="14">
    <w:abstractNumId w:val="16"/>
  </w:num>
  <w:num w:numId="15">
    <w:abstractNumId w:val="22"/>
  </w:num>
  <w:num w:numId="16">
    <w:abstractNumId w:val="38"/>
  </w:num>
  <w:num w:numId="17">
    <w:abstractNumId w:val="3"/>
  </w:num>
  <w:num w:numId="18">
    <w:abstractNumId w:val="10"/>
  </w:num>
  <w:num w:numId="19">
    <w:abstractNumId w:val="12"/>
  </w:num>
  <w:num w:numId="20">
    <w:abstractNumId w:val="27"/>
  </w:num>
  <w:num w:numId="21">
    <w:abstractNumId w:val="1"/>
  </w:num>
  <w:num w:numId="22">
    <w:abstractNumId w:val="34"/>
  </w:num>
  <w:num w:numId="23">
    <w:abstractNumId w:val="29"/>
  </w:num>
  <w:num w:numId="24">
    <w:abstractNumId w:val="20"/>
  </w:num>
  <w:num w:numId="25">
    <w:abstractNumId w:val="9"/>
  </w:num>
  <w:num w:numId="26">
    <w:abstractNumId w:val="14"/>
  </w:num>
  <w:num w:numId="27">
    <w:abstractNumId w:val="25"/>
  </w:num>
  <w:num w:numId="28">
    <w:abstractNumId w:val="18"/>
  </w:num>
  <w:num w:numId="29">
    <w:abstractNumId w:val="23"/>
  </w:num>
  <w:num w:numId="30">
    <w:abstractNumId w:val="26"/>
  </w:num>
  <w:num w:numId="31">
    <w:abstractNumId w:val="5"/>
  </w:num>
  <w:num w:numId="32">
    <w:abstractNumId w:val="32"/>
  </w:num>
  <w:num w:numId="33">
    <w:abstractNumId w:val="24"/>
  </w:num>
  <w:num w:numId="34">
    <w:abstractNumId w:val="4"/>
  </w:num>
  <w:num w:numId="35">
    <w:abstractNumId w:val="15"/>
  </w:num>
  <w:num w:numId="36">
    <w:abstractNumId w:val="28"/>
  </w:num>
  <w:num w:numId="37">
    <w:abstractNumId w:val="17"/>
  </w:num>
  <w:num w:numId="38">
    <w:abstractNumId w:val="33"/>
  </w:num>
  <w:num w:numId="39">
    <w:abstractNumId w:val="11"/>
  </w:num>
  <w:num w:numId="40">
    <w:abstractNumId w:val="2"/>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283"/>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66"/>
    <w:rsid w:val="000012EF"/>
    <w:rsid w:val="00005EF0"/>
    <w:rsid w:val="00013676"/>
    <w:rsid w:val="000160CA"/>
    <w:rsid w:val="00023089"/>
    <w:rsid w:val="0002641F"/>
    <w:rsid w:val="00026D5F"/>
    <w:rsid w:val="00035FBD"/>
    <w:rsid w:val="00045DB5"/>
    <w:rsid w:val="000500B8"/>
    <w:rsid w:val="000613A1"/>
    <w:rsid w:val="00063247"/>
    <w:rsid w:val="0006426C"/>
    <w:rsid w:val="000666C6"/>
    <w:rsid w:val="00076B22"/>
    <w:rsid w:val="000953DA"/>
    <w:rsid w:val="000A73E3"/>
    <w:rsid w:val="000B1515"/>
    <w:rsid w:val="000B7066"/>
    <w:rsid w:val="000C08CA"/>
    <w:rsid w:val="000C3C08"/>
    <w:rsid w:val="000C3DBE"/>
    <w:rsid w:val="000C4CC7"/>
    <w:rsid w:val="000C6FF9"/>
    <w:rsid w:val="000D0C87"/>
    <w:rsid w:val="000D22C5"/>
    <w:rsid w:val="000E1185"/>
    <w:rsid w:val="000E7D12"/>
    <w:rsid w:val="000F5D51"/>
    <w:rsid w:val="0013270A"/>
    <w:rsid w:val="00135A1C"/>
    <w:rsid w:val="00143720"/>
    <w:rsid w:val="00145B99"/>
    <w:rsid w:val="0014645C"/>
    <w:rsid w:val="00151A69"/>
    <w:rsid w:val="0015214C"/>
    <w:rsid w:val="001532D5"/>
    <w:rsid w:val="001554B4"/>
    <w:rsid w:val="00187E18"/>
    <w:rsid w:val="00195B00"/>
    <w:rsid w:val="00195B52"/>
    <w:rsid w:val="001A73BB"/>
    <w:rsid w:val="001C0C20"/>
    <w:rsid w:val="001D1599"/>
    <w:rsid w:val="001E0FF3"/>
    <w:rsid w:val="001E2CF1"/>
    <w:rsid w:val="001E68AD"/>
    <w:rsid w:val="00202645"/>
    <w:rsid w:val="0020349A"/>
    <w:rsid w:val="0020657E"/>
    <w:rsid w:val="0020734D"/>
    <w:rsid w:val="00207874"/>
    <w:rsid w:val="002105F8"/>
    <w:rsid w:val="00212FA4"/>
    <w:rsid w:val="0021586C"/>
    <w:rsid w:val="00215D0B"/>
    <w:rsid w:val="00215E33"/>
    <w:rsid w:val="002204B6"/>
    <w:rsid w:val="00220AE9"/>
    <w:rsid w:val="00221958"/>
    <w:rsid w:val="0022292E"/>
    <w:rsid w:val="00227C02"/>
    <w:rsid w:val="00230467"/>
    <w:rsid w:val="00237965"/>
    <w:rsid w:val="00252463"/>
    <w:rsid w:val="00264012"/>
    <w:rsid w:val="0026735F"/>
    <w:rsid w:val="002721C0"/>
    <w:rsid w:val="00275CE0"/>
    <w:rsid w:val="00282B62"/>
    <w:rsid w:val="00284285"/>
    <w:rsid w:val="00290CF9"/>
    <w:rsid w:val="00293398"/>
    <w:rsid w:val="0029448F"/>
    <w:rsid w:val="002950F0"/>
    <w:rsid w:val="00297538"/>
    <w:rsid w:val="002B1231"/>
    <w:rsid w:val="002B3FE9"/>
    <w:rsid w:val="002B66BE"/>
    <w:rsid w:val="002B78D4"/>
    <w:rsid w:val="002C437E"/>
    <w:rsid w:val="002D2E13"/>
    <w:rsid w:val="002D5E16"/>
    <w:rsid w:val="002E5BB3"/>
    <w:rsid w:val="002E79D6"/>
    <w:rsid w:val="002F076F"/>
    <w:rsid w:val="0030778D"/>
    <w:rsid w:val="00310F3E"/>
    <w:rsid w:val="00313D75"/>
    <w:rsid w:val="00317E4C"/>
    <w:rsid w:val="0032092E"/>
    <w:rsid w:val="0032659C"/>
    <w:rsid w:val="00332540"/>
    <w:rsid w:val="00333556"/>
    <w:rsid w:val="003435EC"/>
    <w:rsid w:val="0035125D"/>
    <w:rsid w:val="00352E51"/>
    <w:rsid w:val="0035750A"/>
    <w:rsid w:val="00371F93"/>
    <w:rsid w:val="003815F9"/>
    <w:rsid w:val="00382195"/>
    <w:rsid w:val="00390965"/>
    <w:rsid w:val="00391239"/>
    <w:rsid w:val="00391912"/>
    <w:rsid w:val="003970F5"/>
    <w:rsid w:val="003A12C9"/>
    <w:rsid w:val="003A4D53"/>
    <w:rsid w:val="003A6CBE"/>
    <w:rsid w:val="003B3E76"/>
    <w:rsid w:val="003B43F3"/>
    <w:rsid w:val="003B7318"/>
    <w:rsid w:val="003C60ED"/>
    <w:rsid w:val="003D28E9"/>
    <w:rsid w:val="003D43F9"/>
    <w:rsid w:val="003E43B5"/>
    <w:rsid w:val="003F0A13"/>
    <w:rsid w:val="004015E5"/>
    <w:rsid w:val="00407374"/>
    <w:rsid w:val="00416C1D"/>
    <w:rsid w:val="00421E07"/>
    <w:rsid w:val="00425161"/>
    <w:rsid w:val="00426721"/>
    <w:rsid w:val="00442DE8"/>
    <w:rsid w:val="00454ED0"/>
    <w:rsid w:val="004642CD"/>
    <w:rsid w:val="00474B0A"/>
    <w:rsid w:val="00475870"/>
    <w:rsid w:val="004775EA"/>
    <w:rsid w:val="00496236"/>
    <w:rsid w:val="004A40EA"/>
    <w:rsid w:val="004A6679"/>
    <w:rsid w:val="004A6820"/>
    <w:rsid w:val="004C6C74"/>
    <w:rsid w:val="004D289E"/>
    <w:rsid w:val="004D74E2"/>
    <w:rsid w:val="004E27D0"/>
    <w:rsid w:val="004E4636"/>
    <w:rsid w:val="004E7A74"/>
    <w:rsid w:val="00507292"/>
    <w:rsid w:val="00507A1C"/>
    <w:rsid w:val="0051065F"/>
    <w:rsid w:val="0051165C"/>
    <w:rsid w:val="005120BC"/>
    <w:rsid w:val="00514495"/>
    <w:rsid w:val="005149B3"/>
    <w:rsid w:val="005237E5"/>
    <w:rsid w:val="00534B0D"/>
    <w:rsid w:val="005363EA"/>
    <w:rsid w:val="00537D81"/>
    <w:rsid w:val="005461D7"/>
    <w:rsid w:val="00546F1F"/>
    <w:rsid w:val="005538DC"/>
    <w:rsid w:val="00555A89"/>
    <w:rsid w:val="00577B6E"/>
    <w:rsid w:val="005A785F"/>
    <w:rsid w:val="005B0729"/>
    <w:rsid w:val="005C29F8"/>
    <w:rsid w:val="005C6DF3"/>
    <w:rsid w:val="005D0948"/>
    <w:rsid w:val="005D2553"/>
    <w:rsid w:val="005D6503"/>
    <w:rsid w:val="005D7080"/>
    <w:rsid w:val="005D7716"/>
    <w:rsid w:val="005E1E30"/>
    <w:rsid w:val="005E38D3"/>
    <w:rsid w:val="005E4323"/>
    <w:rsid w:val="005E7EAB"/>
    <w:rsid w:val="00604F00"/>
    <w:rsid w:val="006075B8"/>
    <w:rsid w:val="00613EA6"/>
    <w:rsid w:val="00633C9A"/>
    <w:rsid w:val="00642715"/>
    <w:rsid w:val="006515AE"/>
    <w:rsid w:val="00655E4A"/>
    <w:rsid w:val="00655FD8"/>
    <w:rsid w:val="00657467"/>
    <w:rsid w:val="006609AC"/>
    <w:rsid w:val="00664B74"/>
    <w:rsid w:val="00665291"/>
    <w:rsid w:val="006673D9"/>
    <w:rsid w:val="00667A9C"/>
    <w:rsid w:val="00670861"/>
    <w:rsid w:val="006718A6"/>
    <w:rsid w:val="006764CC"/>
    <w:rsid w:val="00676BAE"/>
    <w:rsid w:val="00681CDA"/>
    <w:rsid w:val="006911E6"/>
    <w:rsid w:val="006A086A"/>
    <w:rsid w:val="006A200E"/>
    <w:rsid w:val="006A66E5"/>
    <w:rsid w:val="006A7657"/>
    <w:rsid w:val="006C0540"/>
    <w:rsid w:val="006C60DC"/>
    <w:rsid w:val="006D09A6"/>
    <w:rsid w:val="006D0D80"/>
    <w:rsid w:val="006D295E"/>
    <w:rsid w:val="006E1C9A"/>
    <w:rsid w:val="006E29D5"/>
    <w:rsid w:val="006F3EFE"/>
    <w:rsid w:val="006F400A"/>
    <w:rsid w:val="006F6931"/>
    <w:rsid w:val="00706E4E"/>
    <w:rsid w:val="00716EB7"/>
    <w:rsid w:val="007237D6"/>
    <w:rsid w:val="00730091"/>
    <w:rsid w:val="00730B96"/>
    <w:rsid w:val="00730EC3"/>
    <w:rsid w:val="007364CF"/>
    <w:rsid w:val="007419E7"/>
    <w:rsid w:val="0074417F"/>
    <w:rsid w:val="00746E05"/>
    <w:rsid w:val="0075352C"/>
    <w:rsid w:val="00754AF2"/>
    <w:rsid w:val="00777919"/>
    <w:rsid w:val="00780443"/>
    <w:rsid w:val="007832D3"/>
    <w:rsid w:val="007853E8"/>
    <w:rsid w:val="0078582E"/>
    <w:rsid w:val="007868BE"/>
    <w:rsid w:val="00794427"/>
    <w:rsid w:val="007954B9"/>
    <w:rsid w:val="007A0A08"/>
    <w:rsid w:val="007C3A0E"/>
    <w:rsid w:val="007D0525"/>
    <w:rsid w:val="007D5BDA"/>
    <w:rsid w:val="007E3D0F"/>
    <w:rsid w:val="007E5162"/>
    <w:rsid w:val="007E5B83"/>
    <w:rsid w:val="007F0D3E"/>
    <w:rsid w:val="007F67EF"/>
    <w:rsid w:val="008010DC"/>
    <w:rsid w:val="008023C4"/>
    <w:rsid w:val="008155CC"/>
    <w:rsid w:val="00822243"/>
    <w:rsid w:val="00822BE7"/>
    <w:rsid w:val="0082365D"/>
    <w:rsid w:val="00831B5F"/>
    <w:rsid w:val="00832BC4"/>
    <w:rsid w:val="00833718"/>
    <w:rsid w:val="00833CA0"/>
    <w:rsid w:val="008401A1"/>
    <w:rsid w:val="0085157E"/>
    <w:rsid w:val="00854E3E"/>
    <w:rsid w:val="00860144"/>
    <w:rsid w:val="00865A0B"/>
    <w:rsid w:val="00866970"/>
    <w:rsid w:val="00876921"/>
    <w:rsid w:val="008826F0"/>
    <w:rsid w:val="00886084"/>
    <w:rsid w:val="008861C9"/>
    <w:rsid w:val="008910A4"/>
    <w:rsid w:val="008919AD"/>
    <w:rsid w:val="0089243C"/>
    <w:rsid w:val="00897118"/>
    <w:rsid w:val="008C02CF"/>
    <w:rsid w:val="008C1ACB"/>
    <w:rsid w:val="008C6495"/>
    <w:rsid w:val="008C735F"/>
    <w:rsid w:val="008F1248"/>
    <w:rsid w:val="008F1DED"/>
    <w:rsid w:val="008F754E"/>
    <w:rsid w:val="009040CC"/>
    <w:rsid w:val="00905D61"/>
    <w:rsid w:val="00907FDF"/>
    <w:rsid w:val="00920790"/>
    <w:rsid w:val="009261F2"/>
    <w:rsid w:val="00927050"/>
    <w:rsid w:val="009301D3"/>
    <w:rsid w:val="00931B2B"/>
    <w:rsid w:val="00931F67"/>
    <w:rsid w:val="00933E19"/>
    <w:rsid w:val="00934F63"/>
    <w:rsid w:val="00943142"/>
    <w:rsid w:val="00950899"/>
    <w:rsid w:val="00951D52"/>
    <w:rsid w:val="00960721"/>
    <w:rsid w:val="00964A2B"/>
    <w:rsid w:val="0097010A"/>
    <w:rsid w:val="009715FA"/>
    <w:rsid w:val="00971D19"/>
    <w:rsid w:val="009836A9"/>
    <w:rsid w:val="00991C61"/>
    <w:rsid w:val="009954BA"/>
    <w:rsid w:val="009A17F2"/>
    <w:rsid w:val="009B275E"/>
    <w:rsid w:val="009C2CC2"/>
    <w:rsid w:val="009C41BF"/>
    <w:rsid w:val="009C7C45"/>
    <w:rsid w:val="009D3D8F"/>
    <w:rsid w:val="009D7812"/>
    <w:rsid w:val="009E3085"/>
    <w:rsid w:val="009E312B"/>
    <w:rsid w:val="009E461A"/>
    <w:rsid w:val="009E699C"/>
    <w:rsid w:val="009F09FA"/>
    <w:rsid w:val="009F2A16"/>
    <w:rsid w:val="009F6E12"/>
    <w:rsid w:val="00A022FB"/>
    <w:rsid w:val="00A06A1C"/>
    <w:rsid w:val="00A105C2"/>
    <w:rsid w:val="00A13141"/>
    <w:rsid w:val="00A21BE2"/>
    <w:rsid w:val="00A42222"/>
    <w:rsid w:val="00A437AA"/>
    <w:rsid w:val="00A54C65"/>
    <w:rsid w:val="00A73D70"/>
    <w:rsid w:val="00A764E0"/>
    <w:rsid w:val="00A84DB6"/>
    <w:rsid w:val="00A9120A"/>
    <w:rsid w:val="00A9473B"/>
    <w:rsid w:val="00A94E05"/>
    <w:rsid w:val="00A9648A"/>
    <w:rsid w:val="00AB4F27"/>
    <w:rsid w:val="00AC70AB"/>
    <w:rsid w:val="00AE0478"/>
    <w:rsid w:val="00AE0F43"/>
    <w:rsid w:val="00AE2D60"/>
    <w:rsid w:val="00AE4964"/>
    <w:rsid w:val="00AE6EAC"/>
    <w:rsid w:val="00AF176B"/>
    <w:rsid w:val="00AF65D3"/>
    <w:rsid w:val="00B036A7"/>
    <w:rsid w:val="00B04158"/>
    <w:rsid w:val="00B11280"/>
    <w:rsid w:val="00B326A6"/>
    <w:rsid w:val="00B34836"/>
    <w:rsid w:val="00B37AF3"/>
    <w:rsid w:val="00B43609"/>
    <w:rsid w:val="00B4512C"/>
    <w:rsid w:val="00B46856"/>
    <w:rsid w:val="00B47DC7"/>
    <w:rsid w:val="00B53766"/>
    <w:rsid w:val="00B53CC3"/>
    <w:rsid w:val="00B56756"/>
    <w:rsid w:val="00B62951"/>
    <w:rsid w:val="00B63D33"/>
    <w:rsid w:val="00B65396"/>
    <w:rsid w:val="00B72E1C"/>
    <w:rsid w:val="00B8363A"/>
    <w:rsid w:val="00B930BB"/>
    <w:rsid w:val="00BA2D86"/>
    <w:rsid w:val="00BB0C26"/>
    <w:rsid w:val="00BB172E"/>
    <w:rsid w:val="00BB528C"/>
    <w:rsid w:val="00BC2AC4"/>
    <w:rsid w:val="00BC367D"/>
    <w:rsid w:val="00BC40B6"/>
    <w:rsid w:val="00C00807"/>
    <w:rsid w:val="00C04E69"/>
    <w:rsid w:val="00C10452"/>
    <w:rsid w:val="00C22D86"/>
    <w:rsid w:val="00C231D9"/>
    <w:rsid w:val="00C23E0D"/>
    <w:rsid w:val="00C255F7"/>
    <w:rsid w:val="00C25EFB"/>
    <w:rsid w:val="00C363B2"/>
    <w:rsid w:val="00C464B1"/>
    <w:rsid w:val="00C550A7"/>
    <w:rsid w:val="00C567F9"/>
    <w:rsid w:val="00C617E4"/>
    <w:rsid w:val="00C652EA"/>
    <w:rsid w:val="00C6549C"/>
    <w:rsid w:val="00C717F8"/>
    <w:rsid w:val="00C86143"/>
    <w:rsid w:val="00C870CC"/>
    <w:rsid w:val="00CB1899"/>
    <w:rsid w:val="00CB5B0E"/>
    <w:rsid w:val="00CC15EF"/>
    <w:rsid w:val="00CC72CB"/>
    <w:rsid w:val="00CD415A"/>
    <w:rsid w:val="00CE6271"/>
    <w:rsid w:val="00CF3A88"/>
    <w:rsid w:val="00D0202E"/>
    <w:rsid w:val="00D16825"/>
    <w:rsid w:val="00D26DB6"/>
    <w:rsid w:val="00D30D8F"/>
    <w:rsid w:val="00D51AE4"/>
    <w:rsid w:val="00D540E2"/>
    <w:rsid w:val="00D66694"/>
    <w:rsid w:val="00D70D95"/>
    <w:rsid w:val="00D7336F"/>
    <w:rsid w:val="00D80BF4"/>
    <w:rsid w:val="00D816F7"/>
    <w:rsid w:val="00D81FE3"/>
    <w:rsid w:val="00D8658C"/>
    <w:rsid w:val="00D866E2"/>
    <w:rsid w:val="00D9112A"/>
    <w:rsid w:val="00D91183"/>
    <w:rsid w:val="00D95131"/>
    <w:rsid w:val="00D97A2E"/>
    <w:rsid w:val="00DA3CF9"/>
    <w:rsid w:val="00DA79EC"/>
    <w:rsid w:val="00DB3579"/>
    <w:rsid w:val="00DC2A42"/>
    <w:rsid w:val="00DD1AB3"/>
    <w:rsid w:val="00DD1EE2"/>
    <w:rsid w:val="00DD4C92"/>
    <w:rsid w:val="00DE0F29"/>
    <w:rsid w:val="00DE2CB3"/>
    <w:rsid w:val="00DE7370"/>
    <w:rsid w:val="00DF5E3B"/>
    <w:rsid w:val="00E04891"/>
    <w:rsid w:val="00E15DE9"/>
    <w:rsid w:val="00E2189D"/>
    <w:rsid w:val="00E26289"/>
    <w:rsid w:val="00E76A56"/>
    <w:rsid w:val="00E76A95"/>
    <w:rsid w:val="00E92F16"/>
    <w:rsid w:val="00EA18CB"/>
    <w:rsid w:val="00EA4D18"/>
    <w:rsid w:val="00EC125E"/>
    <w:rsid w:val="00ED3469"/>
    <w:rsid w:val="00ED47DB"/>
    <w:rsid w:val="00EF2130"/>
    <w:rsid w:val="00F05D8C"/>
    <w:rsid w:val="00F05E66"/>
    <w:rsid w:val="00F07ADC"/>
    <w:rsid w:val="00F111A0"/>
    <w:rsid w:val="00F12891"/>
    <w:rsid w:val="00F231D4"/>
    <w:rsid w:val="00F27553"/>
    <w:rsid w:val="00F303E3"/>
    <w:rsid w:val="00F32C4C"/>
    <w:rsid w:val="00F34D79"/>
    <w:rsid w:val="00F408B3"/>
    <w:rsid w:val="00F42B6E"/>
    <w:rsid w:val="00F47FA9"/>
    <w:rsid w:val="00F541EC"/>
    <w:rsid w:val="00F55F17"/>
    <w:rsid w:val="00F70FE2"/>
    <w:rsid w:val="00F745FF"/>
    <w:rsid w:val="00F765A4"/>
    <w:rsid w:val="00F91EB0"/>
    <w:rsid w:val="00F92A6B"/>
    <w:rsid w:val="00F95EE3"/>
    <w:rsid w:val="00F96866"/>
    <w:rsid w:val="00F97F85"/>
    <w:rsid w:val="00FA3CD5"/>
    <w:rsid w:val="00FB0A38"/>
    <w:rsid w:val="00FB42F2"/>
    <w:rsid w:val="00FB5D41"/>
    <w:rsid w:val="00FB6BD7"/>
    <w:rsid w:val="00FC3FDD"/>
    <w:rsid w:val="00FC4DC6"/>
    <w:rsid w:val="00FC6D98"/>
    <w:rsid w:val="00FD1635"/>
    <w:rsid w:val="00FD43D2"/>
    <w:rsid w:val="00FD69ED"/>
    <w:rsid w:val="00FE3A08"/>
    <w:rsid w:val="00FE572A"/>
    <w:rsid w:val="00FF5A3F"/>
    <w:rsid w:val="00FF61B6"/>
    <w:rsid w:val="00FF651A"/>
    <w:rsid w:val="00FF750B"/>
    <w:rsid w:val="01A66CF1"/>
    <w:rsid w:val="06FDB2AE"/>
    <w:rsid w:val="0AC71A39"/>
    <w:rsid w:val="0BAD6978"/>
    <w:rsid w:val="0CC4503C"/>
    <w:rsid w:val="0CC7FA52"/>
    <w:rsid w:val="0CDE1E21"/>
    <w:rsid w:val="0D55C4EF"/>
    <w:rsid w:val="0EBCBF00"/>
    <w:rsid w:val="101885E0"/>
    <w:rsid w:val="119B6B75"/>
    <w:rsid w:val="12DC3479"/>
    <w:rsid w:val="133DABC7"/>
    <w:rsid w:val="13C4DAEF"/>
    <w:rsid w:val="14A26EE2"/>
    <w:rsid w:val="14C57376"/>
    <w:rsid w:val="1700DD88"/>
    <w:rsid w:val="17AD6105"/>
    <w:rsid w:val="198D54FD"/>
    <w:rsid w:val="1A307F50"/>
    <w:rsid w:val="1B29255E"/>
    <w:rsid w:val="1DA0398D"/>
    <w:rsid w:val="1E16823D"/>
    <w:rsid w:val="1E1CCC4B"/>
    <w:rsid w:val="1E50AFA1"/>
    <w:rsid w:val="1E60C620"/>
    <w:rsid w:val="20505C7B"/>
    <w:rsid w:val="214D4FBB"/>
    <w:rsid w:val="22173574"/>
    <w:rsid w:val="223EF413"/>
    <w:rsid w:val="2317BAEA"/>
    <w:rsid w:val="260CF0F5"/>
    <w:rsid w:val="27334E3E"/>
    <w:rsid w:val="297316AE"/>
    <w:rsid w:val="2B4736AE"/>
    <w:rsid w:val="2C738759"/>
    <w:rsid w:val="2CE0105A"/>
    <w:rsid w:val="2E0FDDAA"/>
    <w:rsid w:val="36965571"/>
    <w:rsid w:val="38C036AE"/>
    <w:rsid w:val="392A565A"/>
    <w:rsid w:val="4053E7F8"/>
    <w:rsid w:val="40CE7B9E"/>
    <w:rsid w:val="410B6631"/>
    <w:rsid w:val="411A4423"/>
    <w:rsid w:val="422A6D67"/>
    <w:rsid w:val="46B9CDA5"/>
    <w:rsid w:val="46BA7E5C"/>
    <w:rsid w:val="46CACFFB"/>
    <w:rsid w:val="474BA7CA"/>
    <w:rsid w:val="4ACC9D7E"/>
    <w:rsid w:val="4CCCE76A"/>
    <w:rsid w:val="4E68B7CB"/>
    <w:rsid w:val="4FB80D21"/>
    <w:rsid w:val="54D9FE71"/>
    <w:rsid w:val="5E5F811E"/>
    <w:rsid w:val="5FF9A086"/>
    <w:rsid w:val="5FFC1680"/>
    <w:rsid w:val="607AA72F"/>
    <w:rsid w:val="60F7E2B1"/>
    <w:rsid w:val="648D09AD"/>
    <w:rsid w:val="64A7EACA"/>
    <w:rsid w:val="67497C59"/>
    <w:rsid w:val="6A9C28D2"/>
    <w:rsid w:val="6ABA168C"/>
    <w:rsid w:val="6AD8CD94"/>
    <w:rsid w:val="6BBA97B1"/>
    <w:rsid w:val="6EE6C656"/>
    <w:rsid w:val="6F6AF878"/>
    <w:rsid w:val="7013F040"/>
    <w:rsid w:val="704FEC6A"/>
    <w:rsid w:val="7094894A"/>
    <w:rsid w:val="70FAD0CC"/>
    <w:rsid w:val="73E17BC0"/>
    <w:rsid w:val="76594A48"/>
    <w:rsid w:val="788672D2"/>
    <w:rsid w:val="791E69C1"/>
    <w:rsid w:val="7B670CED"/>
    <w:rsid w:val="7CC1E26E"/>
    <w:rsid w:val="7E86429D"/>
    <w:rsid w:val="7EB0C7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eastAsia="宋体" w:asciiTheme="minorHAnsi" w:hAnsiTheme="minorHAnsi" w:cstheme="minorBidi"/>
      <w:sz w:val="20"/>
      <w:szCs w:val="22"/>
      <w:lang w:val="en-GB" w:eastAsia="en-US" w:bidi="ar-SA"/>
    </w:rPr>
  </w:style>
  <w:style w:type="paragraph" w:styleId="2">
    <w:name w:val="heading 1"/>
    <w:basedOn w:val="1"/>
    <w:next w:val="1"/>
    <w:link w:val="21"/>
    <w:qFormat/>
    <w:uiPriority w:val="9"/>
    <w:pPr>
      <w:keepNext/>
      <w:keepLines/>
      <w:shd w:val="clear" w:color="auto" w:fill="FF0000"/>
      <w:spacing w:before="240" w:after="240"/>
      <w:outlineLvl w:val="0"/>
    </w:pPr>
    <w:rPr>
      <w:rFonts w:asciiTheme="majorHAnsi" w:hAnsiTheme="majorHAnsi" w:eastAsiaTheme="majorEastAsia" w:cstheme="majorBidi"/>
      <w:b/>
      <w:color w:val="FFFFFF" w:themeColor="background1"/>
      <w:sz w:val="36"/>
      <w:szCs w:val="32"/>
      <w14:textFill>
        <w14:solidFill>
          <w14:schemeClr w14:val="bg1"/>
        </w14:solidFill>
      </w14:textFill>
    </w:rPr>
  </w:style>
  <w:style w:type="paragraph" w:styleId="3">
    <w:name w:val="heading 2"/>
    <w:basedOn w:val="1"/>
    <w:next w:val="1"/>
    <w:link w:val="22"/>
    <w:unhideWhenUsed/>
    <w:qFormat/>
    <w:uiPriority w:val="9"/>
    <w:pPr>
      <w:keepNext/>
      <w:keepLines/>
      <w:spacing w:before="240" w:after="0"/>
      <w:outlineLvl w:val="1"/>
    </w:pPr>
    <w:rPr>
      <w:rFonts w:asciiTheme="majorHAnsi" w:hAnsiTheme="majorHAnsi" w:eastAsiaTheme="majorEastAsia" w:cstheme="majorBidi"/>
      <w:b/>
      <w:color w:val="FF0000"/>
      <w:sz w:val="32"/>
      <w:szCs w:val="26"/>
    </w:rPr>
  </w:style>
  <w:style w:type="paragraph" w:styleId="4">
    <w:name w:val="heading 3"/>
    <w:basedOn w:val="1"/>
    <w:next w:val="1"/>
    <w:link w:val="23"/>
    <w:unhideWhenUsed/>
    <w:qFormat/>
    <w:uiPriority w:val="9"/>
    <w:pPr>
      <w:keepNext/>
      <w:keepLines/>
      <w:spacing w:before="120" w:after="0"/>
      <w:outlineLvl w:val="2"/>
    </w:pPr>
    <w:rPr>
      <w:rFonts w:asciiTheme="majorHAnsi" w:hAnsiTheme="majorHAnsi" w:eastAsiaTheme="majorEastAsia" w:cstheme="majorBidi"/>
      <w:b/>
      <w:sz w:val="24"/>
      <w:szCs w:val="24"/>
    </w:rPr>
  </w:style>
  <w:style w:type="paragraph" w:styleId="5">
    <w:name w:val="heading 4"/>
    <w:basedOn w:val="1"/>
    <w:next w:val="1"/>
    <w:link w:val="25"/>
    <w:unhideWhenUsed/>
    <w:qFormat/>
    <w:uiPriority w:val="9"/>
    <w:pPr>
      <w:keepNext/>
      <w:keepLines/>
      <w:spacing w:after="0"/>
      <w:outlineLvl w:val="3"/>
    </w:pPr>
    <w:rPr>
      <w:rFonts w:asciiTheme="majorHAnsi" w:hAnsiTheme="majorHAnsi" w:eastAsiaTheme="majorEastAsia" w:cstheme="majorBidi"/>
      <w:i/>
      <w:iCs/>
      <w:sz w:val="24"/>
    </w:rPr>
  </w:style>
  <w:style w:type="paragraph" w:styleId="6">
    <w:name w:val="heading 5"/>
    <w:basedOn w:val="1"/>
    <w:next w:val="1"/>
    <w:link w:val="34"/>
    <w:semiHidden/>
    <w:unhideWhenUsed/>
    <w:qFormat/>
    <w:uiPriority w:val="9"/>
    <w:pPr>
      <w:keepNext/>
      <w:keepLines/>
      <w:spacing w:before="40" w:after="0"/>
      <w:outlineLvl w:val="4"/>
    </w:pPr>
    <w:rPr>
      <w:rFonts w:asciiTheme="majorHAnsi" w:hAnsiTheme="majorHAnsi" w:eastAsiaTheme="majorEastAsia" w:cstheme="majorBidi"/>
      <w:color w:val="2F5597" w:themeColor="accent1" w:themeShade="BF"/>
    </w:rPr>
  </w:style>
  <w:style w:type="character" w:default="1" w:styleId="15">
    <w:name w:val="Default Paragraph Font"/>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32"/>
    <w:unhideWhenUsed/>
    <w:qFormat/>
    <w:uiPriority w:val="99"/>
    <w:pPr>
      <w:spacing w:line="240" w:lineRule="auto"/>
    </w:pPr>
    <w:rPr>
      <w:szCs w:val="20"/>
    </w:rPr>
  </w:style>
  <w:style w:type="paragraph" w:styleId="8">
    <w:name w:val="footer"/>
    <w:basedOn w:val="1"/>
    <w:link w:val="27"/>
    <w:unhideWhenUsed/>
    <w:uiPriority w:val="99"/>
    <w:pPr>
      <w:tabs>
        <w:tab w:val="center" w:pos="4513"/>
        <w:tab w:val="right" w:pos="9026"/>
      </w:tabs>
      <w:spacing w:after="0" w:line="240" w:lineRule="auto"/>
    </w:pPr>
  </w:style>
  <w:style w:type="paragraph" w:styleId="9">
    <w:name w:val="header"/>
    <w:basedOn w:val="1"/>
    <w:link w:val="26"/>
    <w:unhideWhenUsed/>
    <w:qFormat/>
    <w:uiPriority w:val="99"/>
    <w:pPr>
      <w:tabs>
        <w:tab w:val="center" w:pos="4513"/>
        <w:tab w:val="right" w:pos="9026"/>
      </w:tabs>
      <w:spacing w:after="0" w:line="240" w:lineRule="auto"/>
    </w:pPr>
  </w:style>
  <w:style w:type="paragraph" w:styleId="10">
    <w:name w:val="Subtitle"/>
    <w:basedOn w:val="1"/>
    <w:next w:val="1"/>
    <w:link w:val="20"/>
    <w:qFormat/>
    <w:uiPriority w:val="11"/>
    <w:rPr>
      <w:rFonts w:eastAsiaTheme="minorEastAsia"/>
      <w:b/>
      <w:spacing w:val="15"/>
    </w:rPr>
  </w:style>
  <w:style w:type="paragraph" w:styleId="11">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AU" w:eastAsia="en-AU"/>
    </w:rPr>
  </w:style>
  <w:style w:type="paragraph" w:styleId="12">
    <w:name w:val="Title"/>
    <w:basedOn w:val="1"/>
    <w:next w:val="1"/>
    <w:link w:val="19"/>
    <w:qFormat/>
    <w:uiPriority w:val="10"/>
    <w:pPr>
      <w:spacing w:after="0" w:line="240" w:lineRule="auto"/>
      <w:contextualSpacing/>
    </w:pPr>
    <w:rPr>
      <w:rFonts w:asciiTheme="majorHAnsi" w:hAnsiTheme="majorHAnsi" w:eastAsiaTheme="majorEastAsia" w:cstheme="majorBidi"/>
      <w:b/>
      <w:spacing w:val="-10"/>
      <w:kern w:val="28"/>
      <w:sz w:val="56"/>
      <w:szCs w:val="56"/>
    </w:rPr>
  </w:style>
  <w:style w:type="paragraph" w:styleId="13">
    <w:name w:val="annotation subject"/>
    <w:basedOn w:val="7"/>
    <w:next w:val="7"/>
    <w:link w:val="33"/>
    <w:semiHidden/>
    <w:unhideWhenUsed/>
    <w:qFormat/>
    <w:uiPriority w:val="99"/>
    <w:rPr>
      <w:b/>
      <w:bCs/>
    </w:rPr>
  </w:style>
  <w:style w:type="character" w:styleId="16">
    <w:name w:val="FollowedHyperlink"/>
    <w:basedOn w:val="15"/>
    <w:semiHidden/>
    <w:unhideWhenUsed/>
    <w:uiPriority w:val="99"/>
    <w:rPr>
      <w:color w:val="954F72" w:themeColor="followedHyperlink"/>
      <w:u w:val="single"/>
      <w14:textFill>
        <w14:solidFill>
          <w14:schemeClr w14:val="folHlink"/>
        </w14:solidFill>
      </w14:textFill>
    </w:rPr>
  </w:style>
  <w:style w:type="character" w:styleId="17">
    <w:name w:val="Hyperlink"/>
    <w:basedOn w:val="15"/>
    <w:unhideWhenUsed/>
    <w:qFormat/>
    <w:uiPriority w:val="99"/>
    <w:rPr>
      <w:color w:val="0563C1" w:themeColor="hyperlink"/>
      <w:u w:val="single"/>
      <w14:textFill>
        <w14:solidFill>
          <w14:schemeClr w14:val="hlink"/>
        </w14:solidFill>
      </w14:textFill>
    </w:rPr>
  </w:style>
  <w:style w:type="character" w:styleId="18">
    <w:name w:val="annotation reference"/>
    <w:basedOn w:val="15"/>
    <w:semiHidden/>
    <w:unhideWhenUsed/>
    <w:uiPriority w:val="99"/>
    <w:rPr>
      <w:sz w:val="16"/>
      <w:szCs w:val="16"/>
    </w:rPr>
  </w:style>
  <w:style w:type="character" w:customStyle="1" w:styleId="19">
    <w:name w:val="Title Char"/>
    <w:basedOn w:val="15"/>
    <w:link w:val="12"/>
    <w:qFormat/>
    <w:uiPriority w:val="10"/>
    <w:rPr>
      <w:rFonts w:asciiTheme="majorHAnsi" w:hAnsiTheme="majorHAnsi" w:eastAsiaTheme="majorEastAsia" w:cstheme="majorBidi"/>
      <w:b/>
      <w:spacing w:val="-10"/>
      <w:kern w:val="28"/>
      <w:sz w:val="56"/>
      <w:szCs w:val="56"/>
    </w:rPr>
  </w:style>
  <w:style w:type="character" w:customStyle="1" w:styleId="20">
    <w:name w:val="Subtitle Char"/>
    <w:basedOn w:val="15"/>
    <w:link w:val="10"/>
    <w:qFormat/>
    <w:uiPriority w:val="11"/>
    <w:rPr>
      <w:rFonts w:eastAsiaTheme="minorEastAsia"/>
      <w:b/>
      <w:spacing w:val="15"/>
      <w:sz w:val="20"/>
    </w:rPr>
  </w:style>
  <w:style w:type="character" w:customStyle="1" w:styleId="21">
    <w:name w:val="Heading 1 Char"/>
    <w:basedOn w:val="15"/>
    <w:link w:val="2"/>
    <w:qFormat/>
    <w:uiPriority w:val="9"/>
    <w:rPr>
      <w:rFonts w:asciiTheme="majorHAnsi" w:hAnsiTheme="majorHAnsi" w:eastAsiaTheme="majorEastAsia" w:cstheme="majorBidi"/>
      <w:b/>
      <w:color w:val="FFFFFF" w:themeColor="background1"/>
      <w:sz w:val="36"/>
      <w:szCs w:val="32"/>
      <w:shd w:val="clear" w:color="auto" w:fill="FF0000"/>
      <w14:textFill>
        <w14:solidFill>
          <w14:schemeClr w14:val="bg1"/>
        </w14:solidFill>
      </w14:textFill>
    </w:rPr>
  </w:style>
  <w:style w:type="character" w:customStyle="1" w:styleId="22">
    <w:name w:val="Heading 2 Char"/>
    <w:basedOn w:val="15"/>
    <w:link w:val="3"/>
    <w:qFormat/>
    <w:uiPriority w:val="9"/>
    <w:rPr>
      <w:rFonts w:asciiTheme="majorHAnsi" w:hAnsiTheme="majorHAnsi" w:eastAsiaTheme="majorEastAsia" w:cstheme="majorBidi"/>
      <w:b/>
      <w:color w:val="FF0000"/>
      <w:sz w:val="32"/>
      <w:szCs w:val="26"/>
    </w:rPr>
  </w:style>
  <w:style w:type="character" w:customStyle="1" w:styleId="23">
    <w:name w:val="Heading 3 Char"/>
    <w:basedOn w:val="15"/>
    <w:link w:val="4"/>
    <w:qFormat/>
    <w:uiPriority w:val="9"/>
    <w:rPr>
      <w:rFonts w:asciiTheme="majorHAnsi" w:hAnsiTheme="majorHAnsi" w:eastAsiaTheme="majorEastAsia" w:cstheme="majorBidi"/>
      <w:b/>
      <w:sz w:val="24"/>
      <w:szCs w:val="24"/>
    </w:rPr>
  </w:style>
  <w:style w:type="paragraph" w:styleId="24">
    <w:name w:val="List Paragraph"/>
    <w:basedOn w:val="1"/>
    <w:qFormat/>
    <w:uiPriority w:val="34"/>
    <w:pPr>
      <w:ind w:left="720"/>
      <w:contextualSpacing/>
    </w:pPr>
  </w:style>
  <w:style w:type="character" w:customStyle="1" w:styleId="25">
    <w:name w:val="Heading 4 Char"/>
    <w:basedOn w:val="15"/>
    <w:link w:val="5"/>
    <w:uiPriority w:val="9"/>
    <w:rPr>
      <w:rFonts w:asciiTheme="majorHAnsi" w:hAnsiTheme="majorHAnsi" w:eastAsiaTheme="majorEastAsia" w:cstheme="majorBidi"/>
      <w:i/>
      <w:iCs/>
      <w:sz w:val="24"/>
    </w:rPr>
  </w:style>
  <w:style w:type="character" w:customStyle="1" w:styleId="26">
    <w:name w:val="Header Char"/>
    <w:basedOn w:val="15"/>
    <w:link w:val="9"/>
    <w:uiPriority w:val="99"/>
    <w:rPr>
      <w:sz w:val="20"/>
    </w:rPr>
  </w:style>
  <w:style w:type="character" w:customStyle="1" w:styleId="27">
    <w:name w:val="Footer Char"/>
    <w:basedOn w:val="15"/>
    <w:link w:val="8"/>
    <w:qFormat/>
    <w:uiPriority w:val="99"/>
    <w:rPr>
      <w:sz w:val="20"/>
    </w:rPr>
  </w:style>
  <w:style w:type="character" w:styleId="28">
    <w:name w:val="Placeholder Text"/>
    <w:basedOn w:val="15"/>
    <w:semiHidden/>
    <w:qFormat/>
    <w:uiPriority w:val="99"/>
    <w:rPr>
      <w:color w:val="808080"/>
    </w:rPr>
  </w:style>
  <w:style w:type="character" w:customStyle="1" w:styleId="29">
    <w:name w:val="hgkelc"/>
    <w:basedOn w:val="15"/>
    <w:uiPriority w:val="0"/>
  </w:style>
  <w:style w:type="character" w:customStyle="1" w:styleId="30">
    <w:name w:val="Unresolved Mention"/>
    <w:basedOn w:val="15"/>
    <w:semiHidden/>
    <w:unhideWhenUsed/>
    <w:uiPriority w:val="99"/>
    <w:rPr>
      <w:color w:val="605E5C"/>
      <w:shd w:val="clear" w:color="auto" w:fill="E1DFDD"/>
    </w:rPr>
  </w:style>
  <w:style w:type="paragraph" w:styleId="31">
    <w:name w:val="No Spacing"/>
    <w:qFormat/>
    <w:uiPriority w:val="1"/>
    <w:pPr>
      <w:spacing w:after="0" w:line="240" w:lineRule="auto"/>
    </w:pPr>
    <w:rPr>
      <w:rFonts w:eastAsia="宋体" w:asciiTheme="minorHAnsi" w:hAnsiTheme="minorHAnsi" w:cstheme="minorBidi"/>
      <w:sz w:val="20"/>
      <w:szCs w:val="22"/>
      <w:lang w:val="en-GB" w:eastAsia="en-US" w:bidi="ar-SA"/>
    </w:rPr>
  </w:style>
  <w:style w:type="character" w:customStyle="1" w:styleId="32">
    <w:name w:val="Comment Text Char"/>
    <w:basedOn w:val="15"/>
    <w:link w:val="7"/>
    <w:uiPriority w:val="99"/>
    <w:rPr>
      <w:sz w:val="20"/>
      <w:szCs w:val="20"/>
    </w:rPr>
  </w:style>
  <w:style w:type="character" w:customStyle="1" w:styleId="33">
    <w:name w:val="Comment Subject Char"/>
    <w:basedOn w:val="32"/>
    <w:link w:val="13"/>
    <w:semiHidden/>
    <w:qFormat/>
    <w:uiPriority w:val="99"/>
    <w:rPr>
      <w:b/>
      <w:bCs/>
      <w:sz w:val="20"/>
      <w:szCs w:val="20"/>
    </w:rPr>
  </w:style>
  <w:style w:type="character" w:customStyle="1" w:styleId="34">
    <w:name w:val="Heading 5 Char"/>
    <w:basedOn w:val="15"/>
    <w:link w:val="6"/>
    <w:semiHidden/>
    <w:uiPriority w:val="9"/>
    <w:rPr>
      <w:rFonts w:asciiTheme="majorHAnsi" w:hAnsiTheme="majorHAnsi" w:eastAsiaTheme="majorEastAsia" w:cstheme="majorBidi"/>
      <w:color w:val="2F5597" w:themeColor="accent1" w:themeShade="BF"/>
      <w:sz w:val="20"/>
    </w:rPr>
  </w:style>
  <w:style w:type="paragraph" w:customStyle="1" w:styleId="35">
    <w:name w:val="para"/>
    <w:basedOn w:val="1"/>
    <w:uiPriority w:val="0"/>
    <w:pPr>
      <w:spacing w:before="100" w:beforeAutospacing="1" w:after="100" w:afterAutospacing="1" w:line="240" w:lineRule="auto"/>
    </w:pPr>
    <w:rPr>
      <w:rFonts w:ascii="Times New Roman" w:hAnsi="Times New Roman" w:eastAsia="Times New Roman" w:cs="Times New Roman"/>
      <w:sz w:val="24"/>
      <w:szCs w:val="24"/>
      <w:lang w:val="en-US" w:eastAsia="zh-CN"/>
    </w:rPr>
  </w:style>
  <w:style w:type="character" w:customStyle="1" w:styleId="36">
    <w:name w:val="answer-group"/>
    <w:basedOn w:val="15"/>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glossaryDocument" Target="glossary/document.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A52D2D3CFDE45919CB69417AED53F62"/>
        <w:style w:val=""/>
        <w:category>
          <w:name w:val="General"/>
          <w:gallery w:val="placeholder"/>
        </w:category>
        <w:types>
          <w:type w:val="bbPlcHdr"/>
        </w:types>
        <w:behaviors>
          <w:behavior w:val="content"/>
        </w:behaviors>
        <w:description w:val=""/>
        <w:guid w:val="{C39C456C-3F5C-494A-A6A2-5BF568D1E2D8}"/>
      </w:docPartPr>
      <w:docPartBody>
        <w:p w14:paraId="71676AF3">
          <w:pPr>
            <w:pStyle w:val="5"/>
          </w:pPr>
          <w:r>
            <w:rPr>
              <w:rStyle w:val="4"/>
            </w:rPr>
            <w:t>Choose an item.</w:t>
          </w:r>
        </w:p>
      </w:docPartBody>
    </w:docPart>
    <w:docPart>
      <w:docPartPr>
        <w:name w:val="6DE0C24AFDFF4E3CBA69B04A44414583"/>
        <w:style w:val=""/>
        <w:category>
          <w:name w:val="General"/>
          <w:gallery w:val="placeholder"/>
        </w:category>
        <w:types>
          <w:type w:val="bbPlcHdr"/>
        </w:types>
        <w:behaviors>
          <w:behavior w:val="content"/>
        </w:behaviors>
        <w:description w:val=""/>
        <w:guid w:val="{3507A23A-D2EE-4117-AA1F-C10BEA725870}"/>
      </w:docPartPr>
      <w:docPartBody>
        <w:p w14:paraId="7388E82F">
          <w:pPr>
            <w:pStyle w:val="6"/>
          </w:pPr>
          <w:r>
            <w:rPr>
              <w:rStyle w:val="4"/>
            </w:rPr>
            <w:t>Choose an item.</w:t>
          </w:r>
        </w:p>
      </w:docPartBody>
    </w:docPart>
    <w:docPart>
      <w:docPartPr>
        <w:name w:val="1004F68959D14B51AD74183DE3921FB5"/>
        <w:style w:val=""/>
        <w:category>
          <w:name w:val="General"/>
          <w:gallery w:val="placeholder"/>
        </w:category>
        <w:types>
          <w:type w:val="bbPlcHdr"/>
        </w:types>
        <w:behaviors>
          <w:behavior w:val="content"/>
        </w:behaviors>
        <w:description w:val=""/>
        <w:guid w:val="{89DEC2A6-5BDE-481A-90C4-792A7CF4D233}"/>
      </w:docPartPr>
      <w:docPartBody>
        <w:p w14:paraId="5992BCA9">
          <w:pPr>
            <w:pStyle w:val="7"/>
          </w:pPr>
          <w:r>
            <w:rPr>
              <w:rStyle w:val="4"/>
            </w:rPr>
            <w:t>Choose an item.</w:t>
          </w:r>
        </w:p>
      </w:docPartBody>
    </w:docPart>
    <w:docPart>
      <w:docPartPr>
        <w:name w:val="7AE6DC715A724A42B46915D638E28CED"/>
        <w:style w:val=""/>
        <w:category>
          <w:name w:val="General"/>
          <w:gallery w:val="placeholder"/>
        </w:category>
        <w:types>
          <w:type w:val="bbPlcHdr"/>
        </w:types>
        <w:behaviors>
          <w:behavior w:val="content"/>
        </w:behaviors>
        <w:description w:val=""/>
        <w:guid w:val="{F7186009-38B8-4144-AC47-6E00E64FA82A}"/>
      </w:docPartPr>
      <w:docPartBody>
        <w:p w14:paraId="1C28AEBF">
          <w:pPr>
            <w:pStyle w:val="8"/>
          </w:pPr>
          <w:r>
            <w:rPr>
              <w:rStyle w:val="4"/>
            </w:rPr>
            <w:t>Choose an item.</w:t>
          </w:r>
        </w:p>
      </w:docPartBody>
    </w:docPart>
    <w:docPart>
      <w:docPartPr>
        <w:name w:val="279EEE9180124CE498D28F7780BFEBFA"/>
        <w:style w:val=""/>
        <w:category>
          <w:name w:val="General"/>
          <w:gallery w:val="placeholder"/>
        </w:category>
        <w:types>
          <w:type w:val="bbPlcHdr"/>
        </w:types>
        <w:behaviors>
          <w:behavior w:val="content"/>
        </w:behaviors>
        <w:description w:val=""/>
        <w:guid w:val="{36E8CC69-C03E-499D-A8D6-360177CAE685}"/>
      </w:docPartPr>
      <w:docPartBody>
        <w:p w14:paraId="3FEC5C89">
          <w:pPr>
            <w:pStyle w:val="9"/>
          </w:pPr>
          <w:r>
            <w:rPr>
              <w:rStyle w:val="4"/>
            </w:rPr>
            <w:t>Choose an item.</w:t>
          </w:r>
        </w:p>
      </w:docPartBody>
    </w:docPart>
    <w:docPart>
      <w:docPartPr>
        <w:name w:val="51F178CF593E45BCA0FF9A3B4816E095"/>
        <w:style w:val=""/>
        <w:category>
          <w:name w:val="General"/>
          <w:gallery w:val="placeholder"/>
        </w:category>
        <w:types>
          <w:type w:val="bbPlcHdr"/>
        </w:types>
        <w:behaviors>
          <w:behavior w:val="content"/>
        </w:behaviors>
        <w:description w:val=""/>
        <w:guid w:val="{2B922C89-25AF-4E0E-B9A7-3BDB29D5597A}"/>
      </w:docPartPr>
      <w:docPartBody>
        <w:p w14:paraId="5564D27B">
          <w:pPr>
            <w:pStyle w:val="10"/>
          </w:pPr>
          <w:r>
            <w:rPr>
              <w:rStyle w:val="4"/>
            </w:rPr>
            <w:t>Choose an item.</w:t>
          </w:r>
        </w:p>
      </w:docPartBody>
    </w:docPart>
    <w:docPart>
      <w:docPartPr>
        <w:name w:val="0CB18A0277CE4CA8BC9FFEBBEC7E6394"/>
        <w:style w:val=""/>
        <w:category>
          <w:name w:val="General"/>
          <w:gallery w:val="placeholder"/>
        </w:category>
        <w:types>
          <w:type w:val="bbPlcHdr"/>
        </w:types>
        <w:behaviors>
          <w:behavior w:val="content"/>
        </w:behaviors>
        <w:description w:val=""/>
        <w:guid w:val="{65454F02-34EC-435E-8FF9-B425D8843EA2}"/>
      </w:docPartPr>
      <w:docPartBody>
        <w:p w14:paraId="06EDAF9E">
          <w:pPr>
            <w:pStyle w:val="11"/>
          </w:pPr>
          <w:r>
            <w:rPr>
              <w:rStyle w:val="4"/>
            </w:rPr>
            <w:t>Choose an item.</w:t>
          </w:r>
        </w:p>
      </w:docPartBody>
    </w:docPart>
    <w:docPart>
      <w:docPartPr>
        <w:name w:val="4ECD73562D344421B82F0D18BD2D58D8"/>
        <w:style w:val=""/>
        <w:category>
          <w:name w:val="General"/>
          <w:gallery w:val="placeholder"/>
        </w:category>
        <w:types>
          <w:type w:val="bbPlcHdr"/>
        </w:types>
        <w:behaviors>
          <w:behavior w:val="content"/>
        </w:behaviors>
        <w:description w:val=""/>
        <w:guid w:val="{847A4CD6-3543-41EB-B7C1-5EF87E35F2E8}"/>
      </w:docPartPr>
      <w:docPartBody>
        <w:p w14:paraId="7CD42EB6">
          <w:pPr>
            <w:pStyle w:val="12"/>
          </w:pPr>
          <w:r>
            <w:rPr>
              <w:rStyle w:val="4"/>
            </w:rPr>
            <w:t>Choose an item.</w:t>
          </w:r>
        </w:p>
      </w:docPartBody>
    </w:docPart>
    <w:docPart>
      <w:docPartPr>
        <w:name w:val="C0FDD6AD05FE46D5B454D24689CCEF9F"/>
        <w:style w:val=""/>
        <w:category>
          <w:name w:val="General"/>
          <w:gallery w:val="placeholder"/>
        </w:category>
        <w:types>
          <w:type w:val="bbPlcHdr"/>
        </w:types>
        <w:behaviors>
          <w:behavior w:val="content"/>
        </w:behaviors>
        <w:description w:val=""/>
        <w:guid w:val="{AAB620FB-75A2-4792-BB0B-645718701E65}"/>
      </w:docPartPr>
      <w:docPartBody>
        <w:p w14:paraId="2ED7956E">
          <w:pPr>
            <w:pStyle w:val="13"/>
          </w:pPr>
          <w:r>
            <w:rPr>
              <w:rStyle w:val="4"/>
            </w:rPr>
            <w:t>Choose an item.</w:t>
          </w:r>
        </w:p>
      </w:docPartBody>
    </w:docPart>
    <w:docPart>
      <w:docPartPr>
        <w:name w:val="84B07B13827F493B942735C8D772BFC0"/>
        <w:style w:val=""/>
        <w:category>
          <w:name w:val="General"/>
          <w:gallery w:val="placeholder"/>
        </w:category>
        <w:types>
          <w:type w:val="bbPlcHdr"/>
        </w:types>
        <w:behaviors>
          <w:behavior w:val="content"/>
        </w:behaviors>
        <w:description w:val=""/>
        <w:guid w:val="{F7C44305-4226-4ACC-AF52-83A8281D882A}"/>
      </w:docPartPr>
      <w:docPartBody>
        <w:p w14:paraId="4BA04351">
          <w:pPr>
            <w:pStyle w:val="14"/>
          </w:pPr>
          <w:r>
            <w:rPr>
              <w:rStyle w:val="4"/>
            </w:rPr>
            <w:t>Choose an item.</w:t>
          </w:r>
        </w:p>
      </w:docPartBody>
    </w:docPart>
    <w:docPart>
      <w:docPartPr>
        <w:name w:val="79B71E509FC44D9D9668692AB0B864B2"/>
        <w:style w:val=""/>
        <w:category>
          <w:name w:val="General"/>
          <w:gallery w:val="placeholder"/>
        </w:category>
        <w:types>
          <w:type w:val="bbPlcHdr"/>
        </w:types>
        <w:behaviors>
          <w:behavior w:val="content"/>
        </w:behaviors>
        <w:description w:val=""/>
        <w:guid w:val="{836031DC-004C-48DE-BA7D-A2A3CD7C5B3C}"/>
      </w:docPartPr>
      <w:docPartBody>
        <w:p w14:paraId="7DA4DAB7">
          <w:pPr>
            <w:pStyle w:val="15"/>
          </w:pPr>
          <w:r>
            <w:rPr>
              <w:rStyle w:val="4"/>
            </w:rPr>
            <w:t>Choose an item.</w:t>
          </w:r>
        </w:p>
      </w:docPartBody>
    </w:docPart>
    <w:docPart>
      <w:docPartPr>
        <w:name w:val="450A78380EAE4BDC9B1D2CC920BC7303"/>
        <w:style w:val=""/>
        <w:category>
          <w:name w:val="General"/>
          <w:gallery w:val="placeholder"/>
        </w:category>
        <w:types>
          <w:type w:val="bbPlcHdr"/>
        </w:types>
        <w:behaviors>
          <w:behavior w:val="content"/>
        </w:behaviors>
        <w:description w:val=""/>
        <w:guid w:val="{2BED4776-E94D-4791-9D4B-A238FB351331}"/>
      </w:docPartPr>
      <w:docPartBody>
        <w:p w14:paraId="52E0557C">
          <w:pPr>
            <w:pStyle w:val="16"/>
          </w:pPr>
          <w:r>
            <w:rPr>
              <w:rStyle w:val="4"/>
            </w:rPr>
            <w:t>Choose an item.</w:t>
          </w:r>
        </w:p>
      </w:docPartBody>
    </w:docPart>
    <w:docPart>
      <w:docPartPr>
        <w:name w:val="7B7A162502AA4D64ACA9F9E3716638B4"/>
        <w:style w:val=""/>
        <w:category>
          <w:name w:val="General"/>
          <w:gallery w:val="placeholder"/>
        </w:category>
        <w:types>
          <w:type w:val="bbPlcHdr"/>
        </w:types>
        <w:behaviors>
          <w:behavior w:val="content"/>
        </w:behaviors>
        <w:description w:val=""/>
        <w:guid w:val="{F52953E5-88C5-498D-B116-1C8E9F737CE0}"/>
      </w:docPartPr>
      <w:docPartBody>
        <w:p w14:paraId="4E16D0E7">
          <w:pPr>
            <w:pStyle w:val="17"/>
          </w:pPr>
          <w:r>
            <w:rPr>
              <w:rStyle w:val="4"/>
            </w:rPr>
            <w:t>Choose an item.</w:t>
          </w:r>
        </w:p>
      </w:docPartBody>
    </w:docPart>
    <w:docPart>
      <w:docPartPr>
        <w:name w:val="3F2908031CF84559955D0962C230E6FA"/>
        <w:style w:val=""/>
        <w:category>
          <w:name w:val="General"/>
          <w:gallery w:val="placeholder"/>
        </w:category>
        <w:types>
          <w:type w:val="bbPlcHdr"/>
        </w:types>
        <w:behaviors>
          <w:behavior w:val="content"/>
        </w:behaviors>
        <w:description w:val=""/>
        <w:guid w:val="{56AAD4C2-6119-4E9D-9742-E02A176EA3EB}"/>
      </w:docPartPr>
      <w:docPartBody>
        <w:p w14:paraId="6E8CA708">
          <w:pPr>
            <w:pStyle w:val="18"/>
          </w:pPr>
          <w:r>
            <w:rPr>
              <w:rStyle w:val="4"/>
            </w:rPr>
            <w:t>Choose an item.</w:t>
          </w:r>
        </w:p>
      </w:docPartBody>
    </w:docPart>
    <w:docPart>
      <w:docPartPr>
        <w:name w:val="0C7150C6F8384BE38231FEB18CAF2930"/>
        <w:style w:val=""/>
        <w:category>
          <w:name w:val="General"/>
          <w:gallery w:val="placeholder"/>
        </w:category>
        <w:types>
          <w:type w:val="bbPlcHdr"/>
        </w:types>
        <w:behaviors>
          <w:behavior w:val="content"/>
        </w:behaviors>
        <w:description w:val=""/>
        <w:guid w:val="{3A87FEEC-D039-4F7A-9C8E-83B5EEFA8826}"/>
      </w:docPartPr>
      <w:docPartBody>
        <w:p w14:paraId="6E488874">
          <w:pPr>
            <w:pStyle w:val="19"/>
          </w:pPr>
          <w:r>
            <w:rPr>
              <w:rStyle w:val="4"/>
            </w:rPr>
            <w:t>Choose an item.</w:t>
          </w:r>
        </w:p>
      </w:docPartBody>
    </w:docPart>
    <w:docPart>
      <w:docPartPr>
        <w:name w:val="7027C73C774A4AFC8A5CA55506E15D22"/>
        <w:style w:val=""/>
        <w:category>
          <w:name w:val="General"/>
          <w:gallery w:val="placeholder"/>
        </w:category>
        <w:types>
          <w:type w:val="bbPlcHdr"/>
        </w:types>
        <w:behaviors>
          <w:behavior w:val="content"/>
        </w:behaviors>
        <w:description w:val=""/>
        <w:guid w:val="{6E5F4DA6-6B64-46D9-9DFD-5FB94D64C1B0}"/>
      </w:docPartPr>
      <w:docPartBody>
        <w:p w14:paraId="3935D732">
          <w:pPr>
            <w:pStyle w:val="20"/>
          </w:pPr>
          <w:r>
            <w:rPr>
              <w:rStyle w:val="4"/>
            </w:rPr>
            <w:t>Choose an item.</w:t>
          </w:r>
        </w:p>
      </w:docPartBody>
    </w:docPart>
    <w:docPart>
      <w:docPartPr>
        <w:name w:val="51800F6E9F1F4E8CA085C4FEDEC9E375"/>
        <w:style w:val=""/>
        <w:category>
          <w:name w:val="General"/>
          <w:gallery w:val="placeholder"/>
        </w:category>
        <w:types>
          <w:type w:val="bbPlcHdr"/>
        </w:types>
        <w:behaviors>
          <w:behavior w:val="content"/>
        </w:behaviors>
        <w:description w:val=""/>
        <w:guid w:val="{5FBC2D47-0B2E-4E7E-BE34-23621D5ECC20}"/>
      </w:docPartPr>
      <w:docPartBody>
        <w:p w14:paraId="6431D379">
          <w:pPr>
            <w:pStyle w:val="21"/>
          </w:pPr>
          <w:r>
            <w:rPr>
              <w:rStyle w:val="4"/>
            </w:rPr>
            <w:t>Choose an item.</w:t>
          </w:r>
        </w:p>
      </w:docPartBody>
    </w:docPart>
    <w:docPart>
      <w:docPartPr>
        <w:name w:val="02735579B72C481BA38C4F76AD7AF64F"/>
        <w:style w:val=""/>
        <w:category>
          <w:name w:val="General"/>
          <w:gallery w:val="placeholder"/>
        </w:category>
        <w:types>
          <w:type w:val="bbPlcHdr"/>
        </w:types>
        <w:behaviors>
          <w:behavior w:val="content"/>
        </w:behaviors>
        <w:description w:val=""/>
        <w:guid w:val="{DB2EC83D-5D97-4CD9-9BA4-50CA51030B69}"/>
      </w:docPartPr>
      <w:docPartBody>
        <w:p w14:paraId="268A480B">
          <w:pPr>
            <w:pStyle w:val="22"/>
          </w:pPr>
          <w:r>
            <w:rPr>
              <w:rStyle w:val="4"/>
            </w:rPr>
            <w:t>Choose an item.</w:t>
          </w:r>
        </w:p>
      </w:docPartBody>
    </w:docPart>
    <w:docPart>
      <w:docPartPr>
        <w:name w:val="FC47442AC884444AA48C265C36D31169"/>
        <w:style w:val=""/>
        <w:category>
          <w:name w:val="General"/>
          <w:gallery w:val="placeholder"/>
        </w:category>
        <w:types>
          <w:type w:val="bbPlcHdr"/>
        </w:types>
        <w:behaviors>
          <w:behavior w:val="content"/>
        </w:behaviors>
        <w:description w:val=""/>
        <w:guid w:val="{67F3FCAD-5B69-4317-95EE-2751E0E0AA1F}"/>
      </w:docPartPr>
      <w:docPartBody>
        <w:p w14:paraId="1C0D8BA5">
          <w:pPr>
            <w:pStyle w:val="23"/>
          </w:pPr>
          <w:r>
            <w:rPr>
              <w:rStyle w:val="4"/>
            </w:rPr>
            <w:t>Choose an item.</w:t>
          </w:r>
        </w:p>
      </w:docPartBody>
    </w:docPart>
    <w:docPart>
      <w:docPartPr>
        <w:name w:val="57177C9282674F7B9551B24362C7AC9D"/>
        <w:style w:val=""/>
        <w:category>
          <w:name w:val="General"/>
          <w:gallery w:val="placeholder"/>
        </w:category>
        <w:types>
          <w:type w:val="bbPlcHdr"/>
        </w:types>
        <w:behaviors>
          <w:behavior w:val="content"/>
        </w:behaviors>
        <w:description w:val=""/>
        <w:guid w:val="{BBB1103B-AC1A-41B5-8B6A-5A44BCC560B9}"/>
      </w:docPartPr>
      <w:docPartBody>
        <w:p w14:paraId="2BEEFF72">
          <w:pPr>
            <w:pStyle w:val="24"/>
          </w:pPr>
          <w:r>
            <w:rPr>
              <w:rStyle w:val="4"/>
            </w:rPr>
            <w:t>Choose an item.</w:t>
          </w:r>
        </w:p>
      </w:docPartBody>
    </w:docPart>
    <w:docPart>
      <w:docPartPr>
        <w:name w:val="6A0B384322544AF4B17AD42262620276"/>
        <w:style w:val=""/>
        <w:category>
          <w:name w:val="General"/>
          <w:gallery w:val="placeholder"/>
        </w:category>
        <w:types>
          <w:type w:val="bbPlcHdr"/>
        </w:types>
        <w:behaviors>
          <w:behavior w:val="content"/>
        </w:behaviors>
        <w:description w:val=""/>
        <w:guid w:val="{36AAF964-DCC3-43C3-8A83-9D044B614CBE}"/>
      </w:docPartPr>
      <w:docPartBody>
        <w:p w14:paraId="582635FC">
          <w:pPr>
            <w:pStyle w:val="25"/>
          </w:pPr>
          <w:r>
            <w:rPr>
              <w:rStyle w:val="4"/>
            </w:rPr>
            <w:t>Choose an item.</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hyphenationZone w:val="283"/>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14C"/>
    <w:rsid w:val="000269C8"/>
    <w:rsid w:val="00093C9F"/>
    <w:rsid w:val="0015214C"/>
    <w:rsid w:val="00344D5A"/>
    <w:rsid w:val="003801A9"/>
    <w:rsid w:val="003B43F3"/>
    <w:rsid w:val="003D7FDB"/>
    <w:rsid w:val="003E48B3"/>
    <w:rsid w:val="003E6B36"/>
    <w:rsid w:val="00400AA6"/>
    <w:rsid w:val="00454ED0"/>
    <w:rsid w:val="00497062"/>
    <w:rsid w:val="006F6931"/>
    <w:rsid w:val="00730B96"/>
    <w:rsid w:val="007720EA"/>
    <w:rsid w:val="007F0D3E"/>
    <w:rsid w:val="00821220"/>
    <w:rsid w:val="00886084"/>
    <w:rsid w:val="00933E19"/>
    <w:rsid w:val="00960872"/>
    <w:rsid w:val="009C12A2"/>
    <w:rsid w:val="00AA19E5"/>
    <w:rsid w:val="00AE4964"/>
    <w:rsid w:val="00B00948"/>
    <w:rsid w:val="00B6053B"/>
    <w:rsid w:val="00B65B9F"/>
    <w:rsid w:val="00B734A1"/>
    <w:rsid w:val="00C03C09"/>
    <w:rsid w:val="00C06B99"/>
    <w:rsid w:val="00CB33E4"/>
    <w:rsid w:val="00CE11AB"/>
    <w:rsid w:val="00D866E2"/>
    <w:rsid w:val="00E13B88"/>
    <w:rsid w:val="00E446C9"/>
    <w:rsid w:val="00E710A7"/>
    <w:rsid w:val="00EA18CB"/>
    <w:rsid w:val="00EC12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kern w:val="2"/>
      <w:sz w:val="22"/>
      <w:szCs w:val="22"/>
      <w:lang w:val="en-GB" w:eastAsia="en-GB"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A52D2D3CFDE45919CB69417AED53F62"/>
    <w:qFormat/>
    <w:uiPriority w:val="0"/>
    <w:pPr>
      <w:spacing w:after="160" w:line="259" w:lineRule="auto"/>
    </w:pPr>
    <w:rPr>
      <w:rFonts w:asciiTheme="minorHAnsi" w:hAnsiTheme="minorHAnsi" w:eastAsiaTheme="minorEastAsia" w:cstheme="minorBidi"/>
      <w:kern w:val="2"/>
      <w:sz w:val="22"/>
      <w:szCs w:val="22"/>
      <w:lang w:val="en-GB" w:eastAsia="en-GB" w:bidi="ar-SA"/>
      <w14:ligatures w14:val="standardContextual"/>
    </w:rPr>
  </w:style>
  <w:style w:type="paragraph" w:customStyle="1" w:styleId="6">
    <w:name w:val="6DE0C24AFDFF4E3CBA69B04A44414583"/>
    <w:qFormat/>
    <w:uiPriority w:val="0"/>
    <w:pPr>
      <w:spacing w:after="160" w:line="259" w:lineRule="auto"/>
    </w:pPr>
    <w:rPr>
      <w:rFonts w:asciiTheme="minorHAnsi" w:hAnsiTheme="minorHAnsi" w:eastAsiaTheme="minorEastAsia" w:cstheme="minorBidi"/>
      <w:kern w:val="2"/>
      <w:sz w:val="22"/>
      <w:szCs w:val="22"/>
      <w:lang w:val="en-GB" w:eastAsia="en-GB" w:bidi="ar-SA"/>
      <w14:ligatures w14:val="standardContextual"/>
    </w:rPr>
  </w:style>
  <w:style w:type="paragraph" w:customStyle="1" w:styleId="7">
    <w:name w:val="1004F68959D14B51AD74183DE3921FB5"/>
    <w:qFormat/>
    <w:uiPriority w:val="0"/>
    <w:pPr>
      <w:spacing w:after="160" w:line="259" w:lineRule="auto"/>
    </w:pPr>
    <w:rPr>
      <w:rFonts w:asciiTheme="minorHAnsi" w:hAnsiTheme="minorHAnsi" w:eastAsiaTheme="minorEastAsia" w:cstheme="minorBidi"/>
      <w:kern w:val="2"/>
      <w:sz w:val="22"/>
      <w:szCs w:val="22"/>
      <w:lang w:val="en-GB" w:eastAsia="en-GB" w:bidi="ar-SA"/>
      <w14:ligatures w14:val="standardContextual"/>
    </w:rPr>
  </w:style>
  <w:style w:type="paragraph" w:customStyle="1" w:styleId="8">
    <w:name w:val="7AE6DC715A724A42B46915D638E28CED"/>
    <w:qFormat/>
    <w:uiPriority w:val="0"/>
    <w:pPr>
      <w:spacing w:after="160" w:line="259" w:lineRule="auto"/>
    </w:pPr>
    <w:rPr>
      <w:rFonts w:asciiTheme="minorHAnsi" w:hAnsiTheme="minorHAnsi" w:eastAsiaTheme="minorEastAsia" w:cstheme="minorBidi"/>
      <w:kern w:val="2"/>
      <w:sz w:val="22"/>
      <w:szCs w:val="22"/>
      <w:lang w:val="en-GB" w:eastAsia="en-GB" w:bidi="ar-SA"/>
      <w14:ligatures w14:val="standardContextual"/>
    </w:rPr>
  </w:style>
  <w:style w:type="paragraph" w:customStyle="1" w:styleId="9">
    <w:name w:val="279EEE9180124CE498D28F7780BFEBFA"/>
    <w:qFormat/>
    <w:uiPriority w:val="0"/>
    <w:pPr>
      <w:spacing w:after="160" w:line="278" w:lineRule="auto"/>
    </w:pPr>
    <w:rPr>
      <w:rFonts w:asciiTheme="minorHAnsi" w:hAnsiTheme="minorHAnsi" w:eastAsiaTheme="minorEastAsia" w:cstheme="minorBidi"/>
      <w:kern w:val="2"/>
      <w:sz w:val="24"/>
      <w:szCs w:val="24"/>
      <w:lang w:val="en-GB" w:eastAsia="en-GB" w:bidi="ar-SA"/>
      <w14:ligatures w14:val="standardContextual"/>
    </w:rPr>
  </w:style>
  <w:style w:type="paragraph" w:customStyle="1" w:styleId="10">
    <w:name w:val="51F178CF593E45BCA0FF9A3B4816E095"/>
    <w:qFormat/>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customStyle="1" w:styleId="11">
    <w:name w:val="0CB18A0277CE4CA8BC9FFEBBEC7E6394"/>
    <w:qFormat/>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customStyle="1" w:styleId="12">
    <w:name w:val="4ECD73562D344421B82F0D18BD2D58D8"/>
    <w:qFormat/>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customStyle="1" w:styleId="13">
    <w:name w:val="C0FDD6AD05FE46D5B454D24689CCEF9F"/>
    <w:qFormat/>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customStyle="1" w:styleId="14">
    <w:name w:val="84B07B13827F493B942735C8D772BFC0"/>
    <w:qFormat/>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customStyle="1" w:styleId="15">
    <w:name w:val="79B71E509FC44D9D9668692AB0B864B2"/>
    <w:qFormat/>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customStyle="1" w:styleId="16">
    <w:name w:val="450A78380EAE4BDC9B1D2CC920BC7303"/>
    <w:qFormat/>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customStyle="1" w:styleId="17">
    <w:name w:val="7B7A162502AA4D64ACA9F9E3716638B4"/>
    <w:qFormat/>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customStyle="1" w:styleId="18">
    <w:name w:val="3F2908031CF84559955D0962C230E6FA"/>
    <w:qFormat/>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customStyle="1" w:styleId="19">
    <w:name w:val="0C7150C6F8384BE38231FEB18CAF2930"/>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customStyle="1" w:styleId="20">
    <w:name w:val="7027C73C774A4AFC8A5CA55506E15D22"/>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customStyle="1" w:styleId="21">
    <w:name w:val="51800F6E9F1F4E8CA085C4FEDEC9E375"/>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customStyle="1" w:styleId="22">
    <w:name w:val="02735579B72C481BA38C4F76AD7AF64F"/>
    <w:qFormat/>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customStyle="1" w:styleId="23">
    <w:name w:val="FC47442AC884444AA48C265C36D31169"/>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customStyle="1" w:styleId="24">
    <w:name w:val="57177C9282674F7B9551B24362C7AC9D"/>
    <w:qFormat/>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paragraph" w:customStyle="1" w:styleId="25">
    <w:name w:val="6A0B384322544AF4B17AD42262620276"/>
    <w:qFormat/>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3E5BD4A2DB99489DADB245B77948E1" ma:contentTypeVersion="15" ma:contentTypeDescription="Create a new document." ma:contentTypeScope="" ma:versionID="909a7b05da659c8e5c9381f66ec9a683">
  <xsd:schema xmlns:xsd="http://www.w3.org/2001/XMLSchema" xmlns:xs="http://www.w3.org/2001/XMLSchema" xmlns:p="http://schemas.microsoft.com/office/2006/metadata/properties" xmlns:ns2="55eee036-b312-4691-be2e-efe9fdaf1737" xmlns:ns3="4f83251b-4d3b-4580-8981-be5e2b08b791" targetNamespace="http://schemas.microsoft.com/office/2006/metadata/properties" ma:root="true" ma:fieldsID="af89decd4a50cb35636b1270dfee1872" ns2:_="" ns3:_="">
    <xsd:import namespace="55eee036-b312-4691-be2e-efe9fdaf1737"/>
    <xsd:import namespace="4f83251b-4d3b-4580-8981-be5e2b08b79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eee036-b312-4691-be2e-efe9fdaf17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b8617a1-beef-4e24-867f-51551f54cfe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83251b-4d3b-4580-8981-be5e2b08b79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8aedaf-94c2-4003-9825-54f364735a6e}" ma:internalName="TaxCatchAll" ma:showField="CatchAllData" ma:web="4f83251b-4d3b-4580-8981-be5e2b08b79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f83251b-4d3b-4580-8981-be5e2b08b791" xsi:nil="true"/>
    <lcf76f155ced4ddcb4097134ff3c332f xmlns="55eee036-b312-4691-be2e-efe9fdaf173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AA2306-ACB4-4272-B836-DC40FB796B55}">
  <ds:schemaRefs/>
</ds:datastoreItem>
</file>

<file path=customXml/itemProps3.xml><?xml version="1.0" encoding="utf-8"?>
<ds:datastoreItem xmlns:ds="http://schemas.openxmlformats.org/officeDocument/2006/customXml" ds:itemID="{05950E52-C344-42BF-B604-14CB6D701267}">
  <ds:schemaRefs/>
</ds:datastoreItem>
</file>

<file path=customXml/itemProps4.xml><?xml version="1.0" encoding="utf-8"?>
<ds:datastoreItem xmlns:ds="http://schemas.openxmlformats.org/officeDocument/2006/customXml" ds:itemID="{337E5FB3-1DA4-4E38-A388-2FAB9FA07DA1}">
  <ds:schemaRefs/>
</ds:datastoreItem>
</file>

<file path=docProps/app.xml><?xml version="1.0" encoding="utf-8"?>
<Properties xmlns="http://schemas.openxmlformats.org/officeDocument/2006/extended-properties" xmlns:vt="http://schemas.openxmlformats.org/officeDocument/2006/docPropsVTypes">
  <Template>Normal</Template>
  <Company>McGraw Hill</Company>
  <Pages>41</Pages>
  <Words>328</Words>
  <Characters>1808</Characters>
  <Lines>534</Lines>
  <Paragraphs>150</Paragraphs>
  <TotalTime>7</TotalTime>
  <ScaleCrop>false</ScaleCrop>
  <LinksUpToDate>false</LinksUpToDate>
  <CharactersWithSpaces>2076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2023-03-03T00:17:00Z</dcterms:created>
  <dc:creator>Aroffo, Filippo</dc:creator>
  <cp:lastModifiedBy>JY</cp:lastModifiedBy>
  <dcterms:modified xsi:type="dcterms:W3CDTF">2026-07-08T00:51:15Z</dcterms:modified>
  <cp:revision>388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0x010100163E5BD4A2DB99489DADB245B77948E1</vt:lpwstr>
  </property>
  <property fmtid="{D5CDD505-2E9C-101B-9397-08002B2CF9AE}" pid="3" name="MediaServiceImageTags">
    <vt:lpwstr/>
  </property>
  <property fmtid="{D5CDD505-2E9C-101B-9397-08002B2CF9AE}" pid="4" name="KSOTemplateDocerSaveRecord">
    <vt:lpwstr>eyJoZGlkIjoiZDgzY2UxMjY3OThlNGQxNzNhOTIzZDU1ODg2MmI4MjUiLCJ1c2VySWQiOiIyODQ5NzU0OTEifQ==</vt:lpwstr>
  </property>
  <property fmtid="{D5CDD505-2E9C-101B-9397-08002B2CF9AE}" pid="5" name="KSOProductBuildVer">
    <vt:lpwstr>2052-12.1.0.26895</vt:lpwstr>
  </property>
  <property fmtid="{D5CDD505-2E9C-101B-9397-08002B2CF9AE}" pid="6" name="ICV">
    <vt:lpwstr>E61335D4ED2A4023A1D91267CF190077_12</vt:lpwstr>
  </property>
</Properties>
</file>